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461DF" w14:textId="312B253C" w:rsidR="00CB3C41" w:rsidRPr="00213482" w:rsidRDefault="007C0D2F" w:rsidP="00364478">
      <w:pPr>
        <w:tabs>
          <w:tab w:val="left" w:pos="709"/>
        </w:tabs>
        <w:spacing w:after="0" w:line="240" w:lineRule="auto"/>
        <w:ind w:left="-426"/>
        <w:rPr>
          <w:rFonts w:ascii="Garamond" w:eastAsia="Times New Roman" w:hAnsi="Garamond" w:cs="Times New Roman"/>
          <w:b/>
          <w:sz w:val="28"/>
          <w:szCs w:val="28"/>
          <w:lang w:eastAsia="ru-RU"/>
        </w:rPr>
      </w:pPr>
      <w:r>
        <w:rPr>
          <w:rFonts w:ascii="Garamond" w:eastAsia="Times New Roman" w:hAnsi="Garamond" w:cs="Times New Roman"/>
          <w:b/>
          <w:sz w:val="28"/>
          <w:szCs w:val="28"/>
          <w:lang w:val="en-US" w:eastAsia="ru-RU"/>
        </w:rPr>
        <w:t>V</w:t>
      </w:r>
      <w:r w:rsidRPr="007C0D2F">
        <w:rPr>
          <w:rFonts w:ascii="Garamond" w:eastAsia="Times New Roman" w:hAnsi="Garamond" w:cs="Times New Roman"/>
          <w:b/>
          <w:sz w:val="28"/>
          <w:szCs w:val="28"/>
          <w:lang w:eastAsia="ru-RU"/>
        </w:rPr>
        <w:t xml:space="preserve">.3. </w:t>
      </w:r>
      <w:r w:rsidR="006D7B11">
        <w:rPr>
          <w:rFonts w:ascii="Garamond" w:eastAsia="Times New Roman" w:hAnsi="Garamond" w:cs="Times New Roman"/>
          <w:b/>
          <w:sz w:val="28"/>
          <w:szCs w:val="28"/>
          <w:lang w:eastAsia="ru-RU"/>
        </w:rPr>
        <w:t xml:space="preserve">Изменения, связанные с особенностями порядка расчета с </w:t>
      </w:r>
      <w:r w:rsidR="00213482">
        <w:rPr>
          <w:rFonts w:ascii="Garamond" w:eastAsia="Times New Roman" w:hAnsi="Garamond" w:cs="Times New Roman"/>
          <w:b/>
          <w:sz w:val="28"/>
          <w:szCs w:val="28"/>
          <w:lang w:eastAsia="ru-RU"/>
        </w:rPr>
        <w:t xml:space="preserve">1 января </w:t>
      </w:r>
      <w:r w:rsidR="006D7B11">
        <w:rPr>
          <w:rFonts w:ascii="Garamond" w:eastAsia="Times New Roman" w:hAnsi="Garamond" w:cs="Times New Roman"/>
          <w:b/>
          <w:sz w:val="28"/>
          <w:szCs w:val="28"/>
          <w:lang w:eastAsia="ru-RU"/>
        </w:rPr>
        <w:t xml:space="preserve">2025 </w:t>
      </w:r>
      <w:r w:rsidR="00213482">
        <w:rPr>
          <w:rFonts w:ascii="Garamond" w:eastAsia="Times New Roman" w:hAnsi="Garamond" w:cs="Times New Roman"/>
          <w:b/>
          <w:sz w:val="28"/>
          <w:szCs w:val="28"/>
          <w:lang w:eastAsia="ru-RU"/>
        </w:rPr>
        <w:t xml:space="preserve">года </w:t>
      </w:r>
      <w:r w:rsidR="006D7B11">
        <w:rPr>
          <w:rFonts w:ascii="Garamond" w:eastAsia="Times New Roman" w:hAnsi="Garamond" w:cs="Times New Roman"/>
          <w:b/>
          <w:sz w:val="28"/>
          <w:szCs w:val="28"/>
          <w:lang w:eastAsia="ru-RU"/>
        </w:rPr>
        <w:t>неустойки (пени) на задолженность участника оптового рынка, у которого прекращен статус участника – кредитора потребителя РРЭ</w:t>
      </w:r>
    </w:p>
    <w:p w14:paraId="2D9ED894" w14:textId="77777777" w:rsidR="007C0D2F" w:rsidRPr="00213482" w:rsidRDefault="007C0D2F" w:rsidP="00364478">
      <w:pPr>
        <w:tabs>
          <w:tab w:val="left" w:pos="709"/>
        </w:tabs>
        <w:spacing w:after="0" w:line="240" w:lineRule="auto"/>
        <w:rPr>
          <w:rFonts w:ascii="Garamond" w:eastAsia="Times New Roman" w:hAnsi="Garamond" w:cs="Times New Roman"/>
          <w:b/>
          <w:sz w:val="28"/>
          <w:szCs w:val="28"/>
          <w:lang w:eastAsia="ru-RU"/>
        </w:rPr>
      </w:pPr>
    </w:p>
    <w:p w14:paraId="7FBB843F" w14:textId="71B04294" w:rsidR="00CB3C41" w:rsidRDefault="006D7B11" w:rsidP="00364478">
      <w:pPr>
        <w:autoSpaceDE w:val="0"/>
        <w:autoSpaceDN w:val="0"/>
        <w:adjustRightInd w:val="0"/>
        <w:spacing w:after="0" w:line="240" w:lineRule="auto"/>
        <w:jc w:val="right"/>
        <w:outlineLvl w:val="0"/>
        <w:rPr>
          <w:rFonts w:ascii="Garamond" w:hAnsi="Garamond" w:cs="Arial"/>
          <w:b/>
          <w:color w:val="000000"/>
          <w:sz w:val="28"/>
          <w:szCs w:val="28"/>
          <w:shd w:val="clear" w:color="auto" w:fill="FFFFFF"/>
        </w:rPr>
      </w:pPr>
      <w:r>
        <w:rPr>
          <w:rFonts w:ascii="Garamond" w:hAnsi="Garamond" w:cs="Arial"/>
          <w:b/>
          <w:color w:val="000000"/>
          <w:sz w:val="28"/>
          <w:szCs w:val="28"/>
          <w:shd w:val="clear" w:color="auto" w:fill="FFFFFF"/>
        </w:rPr>
        <w:t xml:space="preserve">Приложение № </w:t>
      </w:r>
      <w:r w:rsidR="007C0D2F">
        <w:rPr>
          <w:rFonts w:ascii="Garamond" w:hAnsi="Garamond" w:cs="Arial"/>
          <w:b/>
          <w:color w:val="000000"/>
          <w:sz w:val="28"/>
          <w:szCs w:val="28"/>
          <w:shd w:val="clear" w:color="auto" w:fill="FFFFFF"/>
          <w:lang w:val="en-US"/>
        </w:rPr>
        <w:t>5.3</w:t>
      </w:r>
    </w:p>
    <w:p w14:paraId="3F7D2EE8" w14:textId="77777777" w:rsidR="00213482" w:rsidRPr="00213482" w:rsidRDefault="00213482" w:rsidP="00364478">
      <w:pPr>
        <w:autoSpaceDE w:val="0"/>
        <w:autoSpaceDN w:val="0"/>
        <w:adjustRightInd w:val="0"/>
        <w:spacing w:after="0" w:line="240" w:lineRule="auto"/>
        <w:jc w:val="right"/>
        <w:outlineLvl w:val="0"/>
        <w:rPr>
          <w:rFonts w:ascii="Garamond" w:hAnsi="Garamond"/>
          <w:b/>
          <w:sz w:val="28"/>
          <w:szCs w:val="28"/>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8"/>
      </w:tblGrid>
      <w:tr w:rsidR="00CB3C41" w:rsidRPr="00364478" w14:paraId="228FC76A" w14:textId="77777777" w:rsidTr="00364478">
        <w:tc>
          <w:tcPr>
            <w:tcW w:w="15168" w:type="dxa"/>
          </w:tcPr>
          <w:p w14:paraId="57CD55BA" w14:textId="77777777" w:rsidR="00CB3C41" w:rsidRPr="00364478" w:rsidRDefault="006D7B11" w:rsidP="00364478">
            <w:pPr>
              <w:keepNext/>
              <w:spacing w:after="0" w:line="240" w:lineRule="auto"/>
              <w:rPr>
                <w:rFonts w:ascii="Garamond" w:hAnsi="Garamond"/>
                <w:sz w:val="24"/>
                <w:szCs w:val="24"/>
              </w:rPr>
            </w:pPr>
            <w:r w:rsidRPr="00364478">
              <w:rPr>
                <w:rFonts w:ascii="Garamond" w:hAnsi="Garamond"/>
                <w:b/>
                <w:bCs/>
                <w:sz w:val="24"/>
                <w:szCs w:val="24"/>
              </w:rPr>
              <w:t xml:space="preserve">Инициатор: </w:t>
            </w:r>
            <w:r w:rsidRPr="00364478">
              <w:rPr>
                <w:rFonts w:ascii="Garamond" w:hAnsi="Garamond"/>
                <w:sz w:val="24"/>
                <w:szCs w:val="24"/>
              </w:rPr>
              <w:t>ПАО «Волгоградэнергосбыт».</w:t>
            </w:r>
          </w:p>
          <w:p w14:paraId="7B5EAFB0" w14:textId="10A4E1DD" w:rsidR="00CB3C41" w:rsidRPr="00364478" w:rsidRDefault="006D7B11" w:rsidP="00364478">
            <w:pPr>
              <w:spacing w:after="0" w:line="240" w:lineRule="auto"/>
              <w:jc w:val="both"/>
              <w:rPr>
                <w:rFonts w:ascii="Garamond" w:hAnsi="Garamond"/>
                <w:sz w:val="24"/>
                <w:szCs w:val="24"/>
              </w:rPr>
            </w:pPr>
            <w:r w:rsidRPr="00364478">
              <w:rPr>
                <w:rFonts w:ascii="Garamond" w:hAnsi="Garamond"/>
                <w:b/>
                <w:bCs/>
                <w:sz w:val="24"/>
                <w:szCs w:val="24"/>
              </w:rPr>
              <w:t>Обоснование</w:t>
            </w:r>
            <w:r w:rsidRPr="00364478">
              <w:rPr>
                <w:rFonts w:ascii="Garamond" w:hAnsi="Garamond"/>
                <w:b/>
                <w:sz w:val="24"/>
                <w:szCs w:val="24"/>
              </w:rPr>
              <w:t xml:space="preserve">: </w:t>
            </w:r>
            <w:r w:rsidRPr="00364478">
              <w:rPr>
                <w:rFonts w:ascii="Garamond" w:hAnsi="Garamond"/>
                <w:bCs/>
                <w:sz w:val="24"/>
                <w:szCs w:val="24"/>
                <w:lang w:eastAsia="ru-RU"/>
              </w:rPr>
              <w:t>изменения направлены на уточнение порядка расчета неустойки (пени) с 01.01.2025</w:t>
            </w:r>
            <w:r w:rsidRPr="00364478">
              <w:rPr>
                <w:rFonts w:ascii="Garamond" w:hAnsi="Garamond"/>
                <w:sz w:val="24"/>
                <w:szCs w:val="24"/>
              </w:rPr>
              <w:t>.</w:t>
            </w:r>
          </w:p>
          <w:p w14:paraId="7A86DB16" w14:textId="1E67B028" w:rsidR="00CB3C41" w:rsidRPr="00364478" w:rsidRDefault="006D7B11" w:rsidP="00364478">
            <w:pPr>
              <w:autoSpaceDE w:val="0"/>
              <w:autoSpaceDN w:val="0"/>
              <w:adjustRightInd w:val="0"/>
              <w:spacing w:after="0" w:line="240" w:lineRule="auto"/>
              <w:jc w:val="both"/>
              <w:outlineLvl w:val="0"/>
              <w:rPr>
                <w:rFonts w:ascii="Garamond" w:hAnsi="Garamond"/>
                <w:sz w:val="24"/>
                <w:szCs w:val="24"/>
              </w:rPr>
            </w:pPr>
            <w:r w:rsidRPr="00364478">
              <w:rPr>
                <w:rFonts w:ascii="Garamond" w:hAnsi="Garamond"/>
                <w:b/>
                <w:bCs/>
                <w:sz w:val="24"/>
                <w:szCs w:val="24"/>
              </w:rPr>
              <w:t xml:space="preserve">Дата вступления в силу: </w:t>
            </w:r>
            <w:r w:rsidR="00F25D40" w:rsidRPr="00364478">
              <w:rPr>
                <w:rFonts w:ascii="Garamond" w:hAnsi="Garamond"/>
                <w:sz w:val="24"/>
                <w:szCs w:val="24"/>
              </w:rPr>
              <w:t>1 дека</w:t>
            </w:r>
            <w:r w:rsidR="00D17D79" w:rsidRPr="00364478">
              <w:rPr>
                <w:rFonts w:ascii="Garamond" w:hAnsi="Garamond"/>
                <w:sz w:val="24"/>
                <w:szCs w:val="24"/>
              </w:rPr>
              <w:t>бря 2024 года.</w:t>
            </w:r>
          </w:p>
        </w:tc>
      </w:tr>
    </w:tbl>
    <w:p w14:paraId="37CDDBF0" w14:textId="77777777" w:rsidR="007C0D2F" w:rsidRPr="007C0D2F" w:rsidRDefault="007C0D2F" w:rsidP="00364478">
      <w:pPr>
        <w:tabs>
          <w:tab w:val="left" w:pos="709"/>
        </w:tabs>
        <w:spacing w:after="0" w:line="240" w:lineRule="auto"/>
        <w:ind w:left="-426"/>
        <w:rPr>
          <w:rFonts w:ascii="Garamond" w:eastAsia="Times New Roman" w:hAnsi="Garamond" w:cs="Times New Roman"/>
          <w:b/>
          <w:sz w:val="28"/>
          <w:szCs w:val="28"/>
          <w:lang w:eastAsia="ru-RU"/>
        </w:rPr>
      </w:pPr>
    </w:p>
    <w:p w14:paraId="00E2010F" w14:textId="729D60B4" w:rsidR="00CB3C41" w:rsidRPr="007C0D2F" w:rsidRDefault="006D7B11" w:rsidP="00364478">
      <w:pPr>
        <w:tabs>
          <w:tab w:val="left" w:pos="709"/>
        </w:tabs>
        <w:spacing w:after="0" w:line="240" w:lineRule="auto"/>
        <w:ind w:left="-426"/>
        <w:rPr>
          <w:rFonts w:ascii="Garamond" w:eastAsia="Times New Roman" w:hAnsi="Garamond" w:cs="Times New Roman"/>
          <w:b/>
          <w:sz w:val="26"/>
          <w:szCs w:val="26"/>
          <w:lang w:eastAsia="ru-RU"/>
        </w:rPr>
      </w:pPr>
      <w:r w:rsidRPr="007C0D2F">
        <w:rPr>
          <w:rFonts w:ascii="Garamond" w:eastAsia="Times New Roman" w:hAnsi="Garamond" w:cs="Times New Roman"/>
          <w:b/>
          <w:sz w:val="26"/>
          <w:szCs w:val="26"/>
          <w:lang w:eastAsia="ru-RU"/>
        </w:rPr>
        <w:t xml:space="preserve">Предложения по изменениям и дополнениям в </w:t>
      </w:r>
      <w:r w:rsidR="00364478" w:rsidRPr="007C0D2F">
        <w:rPr>
          <w:rFonts w:ascii="Garamond" w:eastAsia="Times New Roman" w:hAnsi="Garamond" w:cs="Times New Roman"/>
          <w:b/>
          <w:sz w:val="26"/>
          <w:szCs w:val="26"/>
          <w:lang w:eastAsia="ru-RU"/>
        </w:rPr>
        <w:t xml:space="preserve">РЕГЛАМЕНТ ФИНАНСОВЫХ РАСЧЕТОВ НА ОПТОВОМ РЫНКЕ ЭЛЕКТРОЭНЕРГИИ </w:t>
      </w:r>
      <w:r w:rsidRPr="007C0D2F">
        <w:rPr>
          <w:rFonts w:ascii="Garamond" w:eastAsia="Times New Roman" w:hAnsi="Garamond" w:cs="Times New Roman"/>
          <w:b/>
          <w:sz w:val="26"/>
          <w:szCs w:val="26"/>
          <w:lang w:eastAsia="ru-RU"/>
        </w:rPr>
        <w:t>(Приложение № 16 к Договору о</w:t>
      </w:r>
      <w:r w:rsidRPr="007C0D2F">
        <w:rPr>
          <w:rFonts w:ascii="Garamond" w:eastAsia="Times New Roman" w:hAnsi="Garamond" w:cs="Times New Roman"/>
          <w:b/>
          <w:sz w:val="26"/>
          <w:szCs w:val="26"/>
          <w:lang w:val="en-US" w:eastAsia="ru-RU"/>
        </w:rPr>
        <w:t> </w:t>
      </w:r>
      <w:r w:rsidRPr="007C0D2F">
        <w:rPr>
          <w:rFonts w:ascii="Garamond" w:eastAsia="Times New Roman" w:hAnsi="Garamond" w:cs="Times New Roman"/>
          <w:b/>
          <w:sz w:val="26"/>
          <w:szCs w:val="26"/>
          <w:lang w:eastAsia="ru-RU"/>
        </w:rPr>
        <w:t>присоединении к торговой системе оптового рынка)</w:t>
      </w:r>
    </w:p>
    <w:p w14:paraId="794F3DDD" w14:textId="77777777" w:rsidR="00CB3C41" w:rsidRDefault="00CB3C41" w:rsidP="00364478">
      <w:pPr>
        <w:spacing w:after="0" w:line="240" w:lineRule="auto"/>
        <w:ind w:left="-284" w:right="-312"/>
        <w:rPr>
          <w:rFonts w:ascii="Garamond" w:hAnsi="Garamond"/>
          <w:b/>
          <w:sz w:val="26"/>
          <w:szCs w:val="26"/>
        </w:rPr>
      </w:pPr>
    </w:p>
    <w:tbl>
      <w:tblPr>
        <w:tblW w:w="150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
        <w:gridCol w:w="6663"/>
        <w:gridCol w:w="7371"/>
      </w:tblGrid>
      <w:tr w:rsidR="00CB3C41" w14:paraId="65656E3F" w14:textId="77777777" w:rsidTr="00364478">
        <w:tc>
          <w:tcPr>
            <w:tcW w:w="969" w:type="dxa"/>
            <w:vAlign w:val="center"/>
          </w:tcPr>
          <w:p w14:paraId="700547F0" w14:textId="77777777" w:rsidR="00CB3C41" w:rsidRDefault="006D7B11" w:rsidP="00364478">
            <w:pPr>
              <w:widowControl w:val="0"/>
              <w:spacing w:after="0" w:line="240" w:lineRule="auto"/>
              <w:jc w:val="center"/>
              <w:rPr>
                <w:rFonts w:ascii="Garamond" w:hAnsi="Garamond"/>
                <w:b/>
              </w:rPr>
            </w:pPr>
            <w:r>
              <w:rPr>
                <w:rFonts w:ascii="Garamond" w:hAnsi="Garamond"/>
                <w:b/>
              </w:rPr>
              <w:t xml:space="preserve">№ </w:t>
            </w:r>
          </w:p>
          <w:p w14:paraId="15A5A2EC" w14:textId="77777777" w:rsidR="00CB3C41" w:rsidRDefault="006D7B11" w:rsidP="00364478">
            <w:pPr>
              <w:widowControl w:val="0"/>
              <w:spacing w:after="0" w:line="240" w:lineRule="auto"/>
              <w:jc w:val="center"/>
              <w:rPr>
                <w:rFonts w:ascii="Garamond" w:hAnsi="Garamond"/>
                <w:b/>
              </w:rPr>
            </w:pPr>
            <w:r>
              <w:rPr>
                <w:rFonts w:ascii="Garamond" w:hAnsi="Garamond"/>
                <w:b/>
              </w:rPr>
              <w:t>пункта</w:t>
            </w:r>
          </w:p>
        </w:tc>
        <w:tc>
          <w:tcPr>
            <w:tcW w:w="6663" w:type="dxa"/>
            <w:tcBorders>
              <w:bottom w:val="single" w:sz="4" w:space="0" w:color="auto"/>
            </w:tcBorders>
          </w:tcPr>
          <w:p w14:paraId="0E67FE65" w14:textId="77777777" w:rsidR="00CB3C41" w:rsidRDefault="006D7B11" w:rsidP="00364478">
            <w:pPr>
              <w:widowControl w:val="0"/>
              <w:spacing w:after="0" w:line="240" w:lineRule="auto"/>
              <w:jc w:val="center"/>
              <w:rPr>
                <w:rFonts w:ascii="Garamond" w:hAnsi="Garamond" w:cs="Garamond"/>
                <w:b/>
                <w:bCs/>
              </w:rPr>
            </w:pPr>
            <w:r>
              <w:rPr>
                <w:rFonts w:ascii="Garamond" w:hAnsi="Garamond" w:cs="Garamond"/>
                <w:b/>
                <w:bCs/>
              </w:rPr>
              <w:t>Редакция, действующая на момент</w:t>
            </w:r>
          </w:p>
          <w:p w14:paraId="4697272E" w14:textId="77777777" w:rsidR="00CB3C41" w:rsidRDefault="006D7B11" w:rsidP="00364478">
            <w:pPr>
              <w:widowControl w:val="0"/>
              <w:tabs>
                <w:tab w:val="center" w:pos="3708"/>
                <w:tab w:val="left" w:pos="5298"/>
              </w:tabs>
              <w:spacing w:after="0" w:line="240" w:lineRule="auto"/>
              <w:jc w:val="center"/>
              <w:rPr>
                <w:rFonts w:ascii="Garamond" w:hAnsi="Garamond"/>
                <w:b/>
              </w:rPr>
            </w:pPr>
            <w:r>
              <w:rPr>
                <w:rFonts w:ascii="Garamond" w:hAnsi="Garamond" w:cs="Garamond"/>
                <w:b/>
                <w:bCs/>
              </w:rPr>
              <w:t>вступления в силу изменений</w:t>
            </w:r>
          </w:p>
        </w:tc>
        <w:tc>
          <w:tcPr>
            <w:tcW w:w="7371" w:type="dxa"/>
            <w:tcBorders>
              <w:bottom w:val="single" w:sz="4" w:space="0" w:color="auto"/>
            </w:tcBorders>
          </w:tcPr>
          <w:p w14:paraId="2FC6FC49" w14:textId="77777777" w:rsidR="00CB3C41" w:rsidRDefault="006D7B11" w:rsidP="00364478">
            <w:pPr>
              <w:widowControl w:val="0"/>
              <w:spacing w:after="0" w:line="240" w:lineRule="auto"/>
              <w:jc w:val="center"/>
              <w:rPr>
                <w:rFonts w:ascii="Garamond" w:hAnsi="Garamond"/>
                <w:b/>
              </w:rPr>
            </w:pPr>
            <w:r>
              <w:rPr>
                <w:rFonts w:ascii="Garamond" w:hAnsi="Garamond"/>
                <w:b/>
              </w:rPr>
              <w:t>Предлагаемая редакция</w:t>
            </w:r>
          </w:p>
          <w:p w14:paraId="7FC9378F" w14:textId="77777777" w:rsidR="00CB3C41" w:rsidRDefault="006D7B11" w:rsidP="00364478">
            <w:pPr>
              <w:widowControl w:val="0"/>
              <w:spacing w:after="0" w:line="240" w:lineRule="auto"/>
              <w:jc w:val="center"/>
              <w:rPr>
                <w:rFonts w:ascii="Garamond" w:hAnsi="Garamond"/>
              </w:rPr>
            </w:pPr>
            <w:r>
              <w:rPr>
                <w:rFonts w:ascii="Garamond" w:hAnsi="Garamond"/>
              </w:rPr>
              <w:t>(изменения выделены цветом)</w:t>
            </w:r>
          </w:p>
        </w:tc>
      </w:tr>
      <w:tr w:rsidR="00CB3C41" w14:paraId="0C4AF4FC" w14:textId="77777777" w:rsidTr="00364478">
        <w:tc>
          <w:tcPr>
            <w:tcW w:w="969" w:type="dxa"/>
            <w:vAlign w:val="center"/>
          </w:tcPr>
          <w:p w14:paraId="7F43461E" w14:textId="77777777" w:rsidR="00CB3C41" w:rsidRDefault="006D7B11">
            <w:pPr>
              <w:widowControl w:val="0"/>
              <w:spacing w:after="0" w:line="240" w:lineRule="auto"/>
              <w:jc w:val="center"/>
              <w:rPr>
                <w:rFonts w:ascii="Garamond" w:hAnsi="Garamond"/>
                <w:b/>
              </w:rPr>
            </w:pPr>
            <w:r>
              <w:rPr>
                <w:rFonts w:ascii="Garamond" w:hAnsi="Garamond"/>
                <w:b/>
              </w:rPr>
              <w:t>12.5.2.9</w:t>
            </w:r>
          </w:p>
        </w:tc>
        <w:tc>
          <w:tcPr>
            <w:tcW w:w="6663" w:type="dxa"/>
            <w:tcBorders>
              <w:bottom w:val="single" w:sz="4" w:space="0" w:color="auto"/>
            </w:tcBorders>
          </w:tcPr>
          <w:p w14:paraId="52E5E7EE" w14:textId="77777777" w:rsidR="00CB3C41" w:rsidRPr="00DD57D1" w:rsidRDefault="006D7B11" w:rsidP="00DD57D1">
            <w:pPr>
              <w:pStyle w:val="a5"/>
              <w:spacing w:before="120" w:after="120"/>
              <w:ind w:left="0" w:firstLine="567"/>
              <w:jc w:val="both"/>
              <w:rPr>
                <w:rFonts w:ascii="Garamond" w:eastAsia="Calibri" w:hAnsi="Garamond"/>
                <w:sz w:val="22"/>
                <w:szCs w:val="22"/>
                <w:lang w:eastAsia="en-US"/>
              </w:rPr>
            </w:pPr>
            <w:r w:rsidRPr="00DD57D1">
              <w:rPr>
                <w:rFonts w:ascii="Garamond" w:eastAsia="Calibri" w:hAnsi="Garamond"/>
                <w:sz w:val="22"/>
                <w:szCs w:val="22"/>
                <w:lang w:eastAsia="en-US"/>
              </w:rPr>
              <w:t>Начиная с даты прекращения у участника оптового рынка статуса участника – кредитора потребителя РРЭ по 31.12.202</w:t>
            </w:r>
            <w:r w:rsidRPr="00DD57D1">
              <w:rPr>
                <w:rFonts w:ascii="Garamond" w:eastAsia="Calibri" w:hAnsi="Garamond"/>
                <w:sz w:val="22"/>
                <w:szCs w:val="22"/>
                <w:highlight w:val="yellow"/>
                <w:lang w:eastAsia="en-US"/>
              </w:rPr>
              <w:t>7</w:t>
            </w:r>
            <w:r w:rsidRPr="00DD57D1">
              <w:rPr>
                <w:rFonts w:ascii="Garamond" w:eastAsia="Calibri" w:hAnsi="Garamond"/>
                <w:sz w:val="22"/>
                <w:szCs w:val="22"/>
                <w:lang w:eastAsia="en-US"/>
              </w:rPr>
              <w:t xml:space="preserve"> ЦФР:</w:t>
            </w:r>
          </w:p>
          <w:p w14:paraId="58FF7930" w14:textId="77777777" w:rsidR="00CB3C41" w:rsidRPr="00DD57D1" w:rsidRDefault="006D7B11" w:rsidP="00DD57D1">
            <w:pPr>
              <w:pStyle w:val="a5"/>
              <w:spacing w:before="120" w:after="120"/>
              <w:ind w:left="0" w:firstLine="567"/>
              <w:jc w:val="both"/>
              <w:rPr>
                <w:rFonts w:ascii="Garamond" w:eastAsia="Calibri" w:hAnsi="Garamond"/>
                <w:sz w:val="22"/>
                <w:szCs w:val="22"/>
                <w:lang w:eastAsia="en-US"/>
              </w:rPr>
            </w:pPr>
            <w:r w:rsidRPr="00DD57D1">
              <w:rPr>
                <w:rFonts w:ascii="Garamond" w:eastAsia="Calibri" w:hAnsi="Garamond"/>
                <w:sz w:val="22"/>
                <w:szCs w:val="22"/>
                <w:lang w:eastAsia="en-US"/>
              </w:rPr>
              <w:t>– ежемесячно, в первый рабочий день месяца, в который проводит сессии с УКО, формирует в порядке, указанном в п. 12.5.2.4 настоящего Регламента, реестр неисполненных (исполненных ненадлежащим образом) обязательств такого участника, на которые не производится расчет неустойки (пени), с учетом информации о сумме задолженности, указанной в последнем предоставленном СР уведомлении в адрес ЦФР в соответствии с пунктом 12.5.2.2 настоящего Регламента;</w:t>
            </w:r>
          </w:p>
          <w:p w14:paraId="5BD91D92" w14:textId="77777777" w:rsidR="00CB3C41" w:rsidRPr="00DD57D1" w:rsidRDefault="006D7B11" w:rsidP="00DD57D1">
            <w:pPr>
              <w:pStyle w:val="a5"/>
              <w:spacing w:before="120" w:after="120"/>
              <w:ind w:left="0" w:firstLine="567"/>
              <w:jc w:val="both"/>
              <w:rPr>
                <w:rFonts w:ascii="Garamond" w:hAnsi="Garamond"/>
                <w:sz w:val="22"/>
                <w:szCs w:val="22"/>
              </w:rPr>
            </w:pPr>
            <w:r w:rsidRPr="00DD57D1">
              <w:rPr>
                <w:rFonts w:ascii="Garamond" w:eastAsia="Calibri" w:hAnsi="Garamond"/>
                <w:sz w:val="22"/>
                <w:szCs w:val="22"/>
                <w:lang w:eastAsia="en-US"/>
              </w:rPr>
              <w:t>– не производит расчет неустойки (пени) такого участника оптового рынка по обязательствам, включенным в реестр неисполненных (исполненных ненадлежащим образом) обязательств;</w:t>
            </w:r>
          </w:p>
          <w:p w14:paraId="335062E6" w14:textId="77777777" w:rsidR="00CB3C41" w:rsidRPr="00DD57D1" w:rsidRDefault="006D7B11" w:rsidP="00DD57D1">
            <w:pPr>
              <w:pStyle w:val="a5"/>
              <w:spacing w:before="120" w:after="120"/>
              <w:ind w:left="0" w:firstLine="567"/>
              <w:jc w:val="both"/>
              <w:rPr>
                <w:rFonts w:ascii="Garamond" w:eastAsia="Calibri" w:hAnsi="Garamond"/>
                <w:sz w:val="22"/>
                <w:szCs w:val="22"/>
                <w:lang w:eastAsia="en-US"/>
              </w:rPr>
            </w:pPr>
            <w:r w:rsidRPr="00DD57D1">
              <w:rPr>
                <w:rFonts w:ascii="Garamond" w:hAnsi="Garamond"/>
                <w:sz w:val="22"/>
                <w:szCs w:val="22"/>
              </w:rPr>
              <w:t xml:space="preserve">– </w:t>
            </w:r>
            <w:r w:rsidRPr="00DD57D1">
              <w:rPr>
                <w:rFonts w:ascii="Garamond" w:eastAsia="Calibri" w:hAnsi="Garamond"/>
                <w:sz w:val="22"/>
                <w:szCs w:val="22"/>
                <w:lang w:eastAsia="en-US"/>
              </w:rPr>
              <w:t>не включает в Сводный реестр платежей, передаваемый в уполномоченную кредитную организацию, все обязательства по оплате неустойки (пени), рассчитанные за нарушение таким участником сроков исполнения обязательств по оплате</w:t>
            </w:r>
            <w:r w:rsidRPr="00DD57D1">
              <w:rPr>
                <w:rFonts w:ascii="Garamond" w:hAnsi="Garamond"/>
                <w:bCs/>
                <w:color w:val="000000"/>
                <w:sz w:val="22"/>
                <w:szCs w:val="22"/>
              </w:rPr>
              <w:t>, перечисленных в пункте 12.1 настоящего Регламента,</w:t>
            </w:r>
            <w:r w:rsidRPr="00DD57D1">
              <w:rPr>
                <w:rFonts w:ascii="Garamond" w:eastAsia="Calibri" w:hAnsi="Garamond"/>
                <w:sz w:val="22"/>
                <w:szCs w:val="22"/>
                <w:lang w:eastAsia="en-US"/>
              </w:rPr>
              <w:t xml:space="preserve"> и не исполненные </w:t>
            </w:r>
            <w:r w:rsidRPr="00DD57D1">
              <w:rPr>
                <w:rFonts w:ascii="Garamond" w:hAnsi="Garamond"/>
                <w:sz w:val="22"/>
                <w:szCs w:val="22"/>
                <w:lang w:eastAsia="en-US"/>
              </w:rPr>
              <w:t>до 01.07.2016,</w:t>
            </w:r>
            <w:r w:rsidRPr="00DD57D1">
              <w:rPr>
                <w:rFonts w:ascii="Garamond" w:eastAsia="Calibri" w:hAnsi="Garamond"/>
                <w:sz w:val="22"/>
                <w:szCs w:val="22"/>
                <w:lang w:eastAsia="en-US"/>
              </w:rPr>
              <w:t xml:space="preserve"> а также рассчитанные за нарушение сроков исполнения обязательств по оплате, перечисленных в пункте 12.1 настоящего Регламента, в период </w:t>
            </w:r>
            <w:r w:rsidRPr="00DD57D1">
              <w:rPr>
                <w:rFonts w:ascii="Garamond" w:hAnsi="Garamond"/>
                <w:sz w:val="22"/>
                <w:szCs w:val="22"/>
                <w:lang w:eastAsia="en-US"/>
              </w:rPr>
              <w:t>с 01.07.2016</w:t>
            </w:r>
            <w:r w:rsidRPr="00DD57D1">
              <w:rPr>
                <w:rFonts w:ascii="Garamond" w:eastAsia="Calibri" w:hAnsi="Garamond"/>
                <w:sz w:val="22"/>
                <w:szCs w:val="22"/>
                <w:lang w:eastAsia="en-US"/>
              </w:rPr>
              <w:t xml:space="preserve"> по 31.12.202</w:t>
            </w:r>
            <w:r w:rsidRPr="00DD57D1">
              <w:rPr>
                <w:rFonts w:ascii="Garamond" w:eastAsia="Calibri" w:hAnsi="Garamond"/>
                <w:sz w:val="22"/>
                <w:szCs w:val="22"/>
                <w:highlight w:val="yellow"/>
                <w:lang w:eastAsia="en-US"/>
              </w:rPr>
              <w:t>7</w:t>
            </w:r>
            <w:r w:rsidRPr="00DD57D1">
              <w:rPr>
                <w:rFonts w:ascii="Garamond" w:eastAsia="Calibri" w:hAnsi="Garamond"/>
                <w:sz w:val="22"/>
                <w:szCs w:val="22"/>
                <w:lang w:eastAsia="en-US"/>
              </w:rPr>
              <w:t>;</w:t>
            </w:r>
          </w:p>
          <w:p w14:paraId="2DEEEADF" w14:textId="77777777" w:rsidR="00CB3C41" w:rsidRPr="00DD57D1" w:rsidRDefault="006D7B11" w:rsidP="00DD57D1">
            <w:pPr>
              <w:pStyle w:val="a5"/>
              <w:spacing w:before="120" w:after="120"/>
              <w:ind w:left="0" w:firstLine="567"/>
              <w:jc w:val="both"/>
              <w:rPr>
                <w:rFonts w:ascii="Garamond" w:eastAsia="Calibri" w:hAnsi="Garamond"/>
                <w:sz w:val="22"/>
                <w:szCs w:val="22"/>
                <w:lang w:eastAsia="en-US"/>
              </w:rPr>
            </w:pPr>
            <w:r w:rsidRPr="00DD57D1">
              <w:rPr>
                <w:rFonts w:ascii="Garamond" w:hAnsi="Garamond"/>
                <w:sz w:val="22"/>
                <w:szCs w:val="22"/>
              </w:rPr>
              <w:t xml:space="preserve">– </w:t>
            </w:r>
            <w:r w:rsidRPr="00DD57D1">
              <w:rPr>
                <w:rFonts w:ascii="Garamond" w:eastAsia="Calibri" w:hAnsi="Garamond"/>
                <w:sz w:val="22"/>
                <w:szCs w:val="22"/>
                <w:lang w:eastAsia="en-US"/>
              </w:rPr>
              <w:t xml:space="preserve">не позднее следующего рабочего дня за днем формирования </w:t>
            </w:r>
            <w:r w:rsidRPr="00DD57D1">
              <w:rPr>
                <w:rFonts w:ascii="Garamond" w:eastAsia="Calibri" w:hAnsi="Garamond"/>
                <w:sz w:val="22"/>
                <w:szCs w:val="22"/>
                <w:lang w:eastAsia="en-US"/>
              </w:rPr>
              <w:lastRenderedPageBreak/>
              <w:t>реестра неисполненных (исполненных ненадлежащим образом) обязательств, на которые не производится расчет неустойки (пени), уведомляет участников оптового рынка о размере обязательств, включенных в указанный реестр, путем публикации уведомления по форме приложения 126 к настоящему Регламенту на сайте КО, в разделе с ограниченным в соответствии с Правилами ЭДО СЭД КО доступом, с применением ЭП.</w:t>
            </w:r>
          </w:p>
          <w:p w14:paraId="41B53445" w14:textId="77777777" w:rsidR="00CB3C41" w:rsidRPr="00DD57D1" w:rsidRDefault="006D7B11" w:rsidP="00DD57D1">
            <w:pPr>
              <w:pStyle w:val="a3"/>
              <w:ind w:firstLine="567"/>
              <w:rPr>
                <w:rFonts w:ascii="Garamond" w:hAnsi="Garamond"/>
                <w:bCs/>
                <w:color w:val="000000"/>
                <w:lang w:val="ru-RU"/>
              </w:rPr>
            </w:pPr>
            <w:r w:rsidRPr="00DD57D1">
              <w:rPr>
                <w:rFonts w:ascii="Garamond" w:hAnsi="Garamond"/>
                <w:bCs/>
                <w:color w:val="000000"/>
                <w:lang w:val="ru-RU"/>
              </w:rPr>
              <w:t xml:space="preserve">ЦФР осуществляет в отношении такого участника учет исполнения обязательств по оплате неустойки (пени) вне уполномоченной кредитной организации, а также прекращение учета обязательств по оплате неустойки (пени) в соответствии с настоящим Регламентом. </w:t>
            </w:r>
          </w:p>
          <w:p w14:paraId="5FA30AF0" w14:textId="77777777" w:rsidR="00CB3C41" w:rsidRPr="00DD57D1" w:rsidRDefault="006D7B11" w:rsidP="00DD57D1">
            <w:pPr>
              <w:pStyle w:val="a3"/>
              <w:ind w:firstLine="567"/>
              <w:rPr>
                <w:szCs w:val="22"/>
                <w:lang w:val="ru-RU"/>
              </w:rPr>
            </w:pPr>
            <w:r w:rsidRPr="00DD57D1">
              <w:rPr>
                <w:rFonts w:ascii="Garamond" w:hAnsi="Garamond"/>
                <w:bCs/>
                <w:color w:val="000000"/>
                <w:lang w:val="ru-RU"/>
              </w:rPr>
              <w:t xml:space="preserve">Начиная </w:t>
            </w:r>
            <w:r w:rsidRPr="00DD57D1">
              <w:rPr>
                <w:rFonts w:ascii="Garamond" w:hAnsi="Garamond"/>
                <w:lang w:val="ru-RU"/>
              </w:rPr>
              <w:t xml:space="preserve">c </w:t>
            </w:r>
            <w:r w:rsidRPr="00DD57D1">
              <w:rPr>
                <w:rFonts w:ascii="Garamond" w:hAnsi="Garamond"/>
                <w:highlight w:val="yellow"/>
                <w:lang w:val="ru-RU"/>
              </w:rPr>
              <w:t>01.01.2028</w:t>
            </w:r>
            <w:r w:rsidRPr="00DD57D1">
              <w:rPr>
                <w:rFonts w:ascii="Garamond" w:hAnsi="Garamond"/>
                <w:bCs/>
                <w:color w:val="000000"/>
                <w:lang w:val="ru-RU"/>
              </w:rPr>
              <w:t xml:space="preserve"> ЦФР включает в Сводный реестр платежей, передаваемый в уполномоченную кредитную организацию, все обязательства по </w:t>
            </w:r>
            <w:r w:rsidRPr="00DD57D1">
              <w:rPr>
                <w:rFonts w:ascii="Garamond" w:hAnsi="Garamond"/>
                <w:bCs/>
                <w:color w:val="000000"/>
                <w:highlight w:val="yellow"/>
                <w:lang w:val="ru-RU"/>
              </w:rPr>
              <w:t>о</w:t>
            </w:r>
            <w:r w:rsidRPr="00DD57D1">
              <w:rPr>
                <w:rFonts w:ascii="Garamond" w:hAnsi="Garamond"/>
                <w:bCs/>
                <w:color w:val="000000"/>
                <w:lang w:val="ru-RU"/>
              </w:rPr>
              <w:t xml:space="preserve">плате неустойки (пени), рассчитанные за нарушение участником, в отношении которого прекращен статус участника – кредитора потребителя РРЭ, обязательств по оплате электрической энергии и (или) мощности, </w:t>
            </w:r>
            <w:r w:rsidRPr="00DD57D1">
              <w:rPr>
                <w:rFonts w:ascii="Garamond" w:hAnsi="Garamond"/>
                <w:bCs/>
                <w:lang w:val="ru-RU"/>
              </w:rPr>
              <w:t>услуг по управлению изменением режима потребления электрической энергии, оказанных по договорам оказания услуг по управлению изменением режима потребления</w:t>
            </w:r>
            <w:r w:rsidRPr="00DD57D1">
              <w:rPr>
                <w:rFonts w:ascii="Garamond" w:hAnsi="Garamond"/>
                <w:bCs/>
                <w:color w:val="000000"/>
                <w:lang w:val="ru-RU"/>
              </w:rPr>
              <w:t xml:space="preserve">, а также услуг инфраструктурных организаций и не </w:t>
            </w:r>
            <w:r w:rsidRPr="00DD57D1">
              <w:rPr>
                <w:rFonts w:ascii="Garamond" w:hAnsi="Garamond"/>
                <w:bCs/>
                <w:color w:val="000000"/>
                <w:highlight w:val="yellow"/>
                <w:lang w:val="ru-RU"/>
              </w:rPr>
              <w:t>исполненные</w:t>
            </w:r>
            <w:r w:rsidRPr="00DD57D1">
              <w:rPr>
                <w:rFonts w:ascii="Garamond" w:hAnsi="Garamond"/>
                <w:bCs/>
                <w:color w:val="000000"/>
                <w:lang w:val="ru-RU"/>
              </w:rPr>
              <w:t xml:space="preserve"> </w:t>
            </w:r>
            <w:r w:rsidRPr="00DD57D1">
              <w:rPr>
                <w:rFonts w:ascii="Garamond" w:hAnsi="Garamond"/>
                <w:lang w:val="ru-RU"/>
              </w:rPr>
              <w:t xml:space="preserve">до </w:t>
            </w:r>
            <w:r w:rsidRPr="00DD57D1">
              <w:rPr>
                <w:rFonts w:ascii="Garamond" w:hAnsi="Garamond"/>
                <w:highlight w:val="yellow"/>
                <w:lang w:val="ru-RU"/>
              </w:rPr>
              <w:t>01.01.2028</w:t>
            </w:r>
            <w:r w:rsidRPr="00DD57D1">
              <w:rPr>
                <w:rFonts w:ascii="Garamond" w:hAnsi="Garamond"/>
                <w:bCs/>
                <w:color w:val="000000"/>
                <w:lang w:val="ru-RU"/>
              </w:rPr>
              <w:t>.</w:t>
            </w:r>
          </w:p>
        </w:tc>
        <w:tc>
          <w:tcPr>
            <w:tcW w:w="7371" w:type="dxa"/>
            <w:tcBorders>
              <w:bottom w:val="single" w:sz="4" w:space="0" w:color="auto"/>
            </w:tcBorders>
          </w:tcPr>
          <w:p w14:paraId="0CE78B28" w14:textId="77777777" w:rsidR="00CB3C41" w:rsidRPr="00DD57D1" w:rsidRDefault="006D7B11" w:rsidP="00DD57D1">
            <w:pPr>
              <w:pStyle w:val="a5"/>
              <w:spacing w:before="120" w:after="120"/>
              <w:ind w:left="0" w:firstLine="567"/>
              <w:jc w:val="both"/>
              <w:rPr>
                <w:rFonts w:ascii="Garamond" w:eastAsia="Calibri" w:hAnsi="Garamond"/>
                <w:sz w:val="22"/>
                <w:szCs w:val="22"/>
                <w:lang w:eastAsia="en-US"/>
              </w:rPr>
            </w:pPr>
            <w:r w:rsidRPr="00DD57D1">
              <w:rPr>
                <w:rFonts w:ascii="Garamond" w:eastAsia="Calibri" w:hAnsi="Garamond"/>
                <w:sz w:val="22"/>
                <w:szCs w:val="22"/>
                <w:lang w:eastAsia="en-US"/>
              </w:rPr>
              <w:lastRenderedPageBreak/>
              <w:t>Начиная с даты прекращения у участника оптового рынка статуса участника – кредитора потребителя РРЭ по 31.12.202</w:t>
            </w:r>
            <w:r w:rsidRPr="00DD57D1">
              <w:rPr>
                <w:rFonts w:ascii="Garamond" w:eastAsia="Calibri" w:hAnsi="Garamond"/>
                <w:sz w:val="22"/>
                <w:szCs w:val="22"/>
                <w:highlight w:val="yellow"/>
                <w:lang w:eastAsia="en-US"/>
              </w:rPr>
              <w:t>4</w:t>
            </w:r>
            <w:r w:rsidRPr="00DD57D1">
              <w:rPr>
                <w:rFonts w:ascii="Garamond" w:eastAsia="Calibri" w:hAnsi="Garamond"/>
                <w:sz w:val="22"/>
                <w:szCs w:val="22"/>
                <w:lang w:eastAsia="en-US"/>
              </w:rPr>
              <w:t xml:space="preserve"> ЦФР:</w:t>
            </w:r>
          </w:p>
          <w:p w14:paraId="29D23B93" w14:textId="77777777" w:rsidR="00CB3C41" w:rsidRPr="00DD57D1" w:rsidRDefault="006D7B11" w:rsidP="00DD57D1">
            <w:pPr>
              <w:pStyle w:val="a5"/>
              <w:spacing w:before="120" w:after="120"/>
              <w:ind w:left="0" w:firstLine="567"/>
              <w:jc w:val="both"/>
              <w:rPr>
                <w:rFonts w:ascii="Garamond" w:eastAsia="Calibri" w:hAnsi="Garamond"/>
                <w:sz w:val="22"/>
                <w:szCs w:val="22"/>
                <w:lang w:eastAsia="en-US"/>
              </w:rPr>
            </w:pPr>
            <w:r w:rsidRPr="00DD57D1">
              <w:rPr>
                <w:rFonts w:ascii="Garamond" w:eastAsia="Calibri" w:hAnsi="Garamond"/>
                <w:sz w:val="22"/>
                <w:szCs w:val="22"/>
                <w:lang w:eastAsia="en-US"/>
              </w:rPr>
              <w:t>– ежемесячно, в первый рабочий день месяца, в который проводит сессии с УКО, формирует в порядке, указанном в п. 12.5.2.4 настоящего Регламента, реестр неисполненных (исполненных ненадлежащим образом) обязательств такого участника, на которые не производится расчет неустойки (пени), с учетом информации о сумме задолженности, указанной в последнем предоставленном СР уведомлении в адрес ЦФР в соответствии с пунктом 12.5.2.2 настоящего Регламента;</w:t>
            </w:r>
          </w:p>
          <w:p w14:paraId="0144392B" w14:textId="77777777" w:rsidR="00CB3C41" w:rsidRPr="00DD57D1" w:rsidRDefault="006D7B11" w:rsidP="00DD57D1">
            <w:pPr>
              <w:pStyle w:val="a5"/>
              <w:spacing w:before="120" w:after="120"/>
              <w:ind w:left="0" w:firstLine="567"/>
              <w:jc w:val="both"/>
              <w:rPr>
                <w:rFonts w:ascii="Garamond" w:hAnsi="Garamond"/>
                <w:sz w:val="22"/>
                <w:szCs w:val="22"/>
              </w:rPr>
            </w:pPr>
            <w:r w:rsidRPr="00DD57D1">
              <w:rPr>
                <w:rFonts w:ascii="Garamond" w:eastAsia="Calibri" w:hAnsi="Garamond"/>
                <w:sz w:val="22"/>
                <w:szCs w:val="22"/>
                <w:lang w:eastAsia="en-US"/>
              </w:rPr>
              <w:t>– не производит расчет неустойки (пени) такого участника оптового рынка по обязательствам, включенным в реестр неисполненных (исполненных ненадлежащим образом) обязательств;</w:t>
            </w:r>
          </w:p>
          <w:p w14:paraId="3151D407" w14:textId="77777777" w:rsidR="00CB3C41" w:rsidRPr="00DD57D1" w:rsidRDefault="006D7B11" w:rsidP="00DD57D1">
            <w:pPr>
              <w:pStyle w:val="a5"/>
              <w:spacing w:before="120" w:after="120"/>
              <w:ind w:left="0" w:firstLine="567"/>
              <w:jc w:val="both"/>
              <w:rPr>
                <w:rFonts w:ascii="Garamond" w:eastAsia="Calibri" w:hAnsi="Garamond"/>
                <w:sz w:val="22"/>
                <w:szCs w:val="22"/>
                <w:lang w:eastAsia="en-US"/>
              </w:rPr>
            </w:pPr>
            <w:r w:rsidRPr="00DD57D1">
              <w:rPr>
                <w:rFonts w:ascii="Garamond" w:hAnsi="Garamond"/>
                <w:sz w:val="22"/>
                <w:szCs w:val="22"/>
              </w:rPr>
              <w:t xml:space="preserve">– </w:t>
            </w:r>
            <w:r w:rsidRPr="00DD57D1">
              <w:rPr>
                <w:rFonts w:ascii="Garamond" w:eastAsia="Calibri" w:hAnsi="Garamond"/>
                <w:sz w:val="22"/>
                <w:szCs w:val="22"/>
                <w:lang w:eastAsia="en-US"/>
              </w:rPr>
              <w:t>не включает в Сводный реестр платежей, передаваемый в уполномоченную кредитную организацию, все обязательства по оплате неустойки (пени), рассчитанные за нарушение таким участником сроков исполнения обязательств по оплате</w:t>
            </w:r>
            <w:r w:rsidRPr="00DD57D1">
              <w:rPr>
                <w:rFonts w:ascii="Garamond" w:hAnsi="Garamond"/>
                <w:bCs/>
                <w:color w:val="000000"/>
                <w:sz w:val="22"/>
                <w:szCs w:val="22"/>
              </w:rPr>
              <w:t>, перечисленных в пункте 12.1 настоящего Регламента,</w:t>
            </w:r>
            <w:r w:rsidRPr="00DD57D1">
              <w:rPr>
                <w:rFonts w:ascii="Garamond" w:eastAsia="Calibri" w:hAnsi="Garamond"/>
                <w:sz w:val="22"/>
                <w:szCs w:val="22"/>
                <w:lang w:eastAsia="en-US"/>
              </w:rPr>
              <w:t xml:space="preserve"> и не исполненные </w:t>
            </w:r>
            <w:r w:rsidRPr="00DD57D1">
              <w:rPr>
                <w:rFonts w:ascii="Garamond" w:hAnsi="Garamond"/>
                <w:sz w:val="22"/>
                <w:szCs w:val="22"/>
                <w:lang w:eastAsia="en-US"/>
              </w:rPr>
              <w:t>до 01.07.2016,</w:t>
            </w:r>
            <w:r w:rsidRPr="00DD57D1">
              <w:rPr>
                <w:rFonts w:ascii="Garamond" w:eastAsia="Calibri" w:hAnsi="Garamond"/>
                <w:sz w:val="22"/>
                <w:szCs w:val="22"/>
                <w:lang w:eastAsia="en-US"/>
              </w:rPr>
              <w:t xml:space="preserve"> а также рассчитанные за нарушение сроков исполнения обязательств по оплате, перечисленных в пункте 12.1 настоящего Регламента, в период </w:t>
            </w:r>
            <w:r w:rsidRPr="00DD57D1">
              <w:rPr>
                <w:rFonts w:ascii="Garamond" w:hAnsi="Garamond"/>
                <w:sz w:val="22"/>
                <w:szCs w:val="22"/>
                <w:lang w:eastAsia="en-US"/>
              </w:rPr>
              <w:t>с 01.07.2016</w:t>
            </w:r>
            <w:r w:rsidRPr="00DD57D1">
              <w:rPr>
                <w:rFonts w:ascii="Garamond" w:eastAsia="Calibri" w:hAnsi="Garamond"/>
                <w:sz w:val="22"/>
                <w:szCs w:val="22"/>
                <w:lang w:eastAsia="en-US"/>
              </w:rPr>
              <w:t xml:space="preserve"> по 31.12.202</w:t>
            </w:r>
            <w:r w:rsidRPr="00DD57D1">
              <w:rPr>
                <w:rFonts w:ascii="Garamond" w:eastAsia="Calibri" w:hAnsi="Garamond"/>
                <w:sz w:val="22"/>
                <w:szCs w:val="22"/>
                <w:highlight w:val="yellow"/>
                <w:lang w:eastAsia="en-US"/>
              </w:rPr>
              <w:t>4</w:t>
            </w:r>
            <w:r w:rsidRPr="00DD57D1">
              <w:rPr>
                <w:rFonts w:ascii="Garamond" w:eastAsia="Calibri" w:hAnsi="Garamond"/>
                <w:sz w:val="22"/>
                <w:szCs w:val="22"/>
                <w:lang w:eastAsia="en-US"/>
              </w:rPr>
              <w:t>;</w:t>
            </w:r>
          </w:p>
          <w:p w14:paraId="2B3FED3B" w14:textId="77777777" w:rsidR="00CB3C41" w:rsidRPr="00DD57D1" w:rsidRDefault="006D7B11" w:rsidP="00DD57D1">
            <w:pPr>
              <w:pStyle w:val="a5"/>
              <w:spacing w:before="120" w:after="120"/>
              <w:ind w:left="0" w:firstLine="567"/>
              <w:jc w:val="both"/>
              <w:rPr>
                <w:rFonts w:ascii="Garamond" w:eastAsia="Calibri" w:hAnsi="Garamond"/>
                <w:sz w:val="22"/>
                <w:szCs w:val="22"/>
                <w:lang w:eastAsia="en-US"/>
              </w:rPr>
            </w:pPr>
            <w:r w:rsidRPr="00DD57D1">
              <w:rPr>
                <w:rFonts w:ascii="Garamond" w:hAnsi="Garamond"/>
                <w:sz w:val="22"/>
                <w:szCs w:val="22"/>
              </w:rPr>
              <w:t xml:space="preserve">– </w:t>
            </w:r>
            <w:r w:rsidRPr="00DD57D1">
              <w:rPr>
                <w:rFonts w:ascii="Garamond" w:eastAsia="Calibri" w:hAnsi="Garamond"/>
                <w:sz w:val="22"/>
                <w:szCs w:val="22"/>
                <w:lang w:eastAsia="en-US"/>
              </w:rPr>
              <w:t xml:space="preserve">не позднее следующего рабочего дня за днем формирования реестра неисполненных (исполненных ненадлежащим образом) обязательств, на которые не производится расчет неустойки (пени), уведомляет участников </w:t>
            </w:r>
            <w:r w:rsidRPr="00DD57D1">
              <w:rPr>
                <w:rFonts w:ascii="Garamond" w:eastAsia="Calibri" w:hAnsi="Garamond"/>
                <w:sz w:val="22"/>
                <w:szCs w:val="22"/>
                <w:lang w:eastAsia="en-US"/>
              </w:rPr>
              <w:lastRenderedPageBreak/>
              <w:t>оптового рынка о размере обязательств, включенных в указанный реестр, путем публикации уведомления по форме приложения 126 к настоящему Регламенту на сайте КО, в разделе с ограниченным в соответствии с Правилами ЭДО СЭД КО доступом, с применением ЭП.</w:t>
            </w:r>
          </w:p>
          <w:p w14:paraId="4E7CC9DC" w14:textId="6A9E76C5" w:rsidR="00CB3C41" w:rsidRPr="00DD57D1" w:rsidRDefault="006D7B11" w:rsidP="00DD57D1">
            <w:pPr>
              <w:spacing w:before="120" w:after="120" w:line="240" w:lineRule="auto"/>
              <w:ind w:firstLine="567"/>
              <w:jc w:val="both"/>
              <w:rPr>
                <w:rFonts w:ascii="Garamond" w:hAnsi="Garamond"/>
                <w:highlight w:val="yellow"/>
              </w:rPr>
            </w:pPr>
            <w:r w:rsidRPr="00DD57D1">
              <w:rPr>
                <w:rFonts w:ascii="Garamond" w:hAnsi="Garamond"/>
                <w:highlight w:val="yellow"/>
              </w:rPr>
              <w:t>Начиная с 01.01.2025 в отношении участника</w:t>
            </w:r>
            <w:r w:rsidR="00DD57D1" w:rsidRPr="00DD57D1">
              <w:rPr>
                <w:rFonts w:ascii="Garamond" w:hAnsi="Garamond"/>
                <w:highlight w:val="yellow"/>
                <w:lang w:val="en-US"/>
              </w:rPr>
              <w:t xml:space="preserve"> </w:t>
            </w:r>
            <w:r w:rsidR="00DD57D1" w:rsidRPr="00DD57D1">
              <w:rPr>
                <w:rFonts w:ascii="Garamond" w:hAnsi="Garamond"/>
                <w:highlight w:val="yellow"/>
              </w:rPr>
              <w:t>оптового рынка</w:t>
            </w:r>
            <w:r w:rsidRPr="00DD57D1">
              <w:rPr>
                <w:rFonts w:ascii="Garamond" w:hAnsi="Garamond"/>
                <w:highlight w:val="yellow"/>
              </w:rPr>
              <w:t xml:space="preserve">, </w:t>
            </w:r>
            <w:r w:rsidRPr="00DD57D1">
              <w:rPr>
                <w:rFonts w:ascii="Garamond" w:hAnsi="Garamond"/>
                <w:bCs/>
                <w:color w:val="000000"/>
                <w:highlight w:val="yellow"/>
              </w:rPr>
              <w:t xml:space="preserve">у которого прекращен статус участника – кредитора потребителя РРЭ, ЦФР </w:t>
            </w:r>
            <w:r w:rsidRPr="00DD57D1">
              <w:rPr>
                <w:rFonts w:ascii="Garamond" w:hAnsi="Garamond"/>
                <w:highlight w:val="yellow"/>
              </w:rPr>
              <w:t xml:space="preserve">для каждого месяца </w:t>
            </w:r>
            <w:r w:rsidRPr="00DD57D1">
              <w:rPr>
                <w:rFonts w:ascii="Garamond" w:hAnsi="Garamond"/>
                <w:bCs/>
                <w:color w:val="000000"/>
                <w:highlight w:val="yellow"/>
              </w:rPr>
              <w:t>формирует</w:t>
            </w:r>
            <w:r w:rsidRPr="00DD57D1">
              <w:rPr>
                <w:rFonts w:ascii="Garamond" w:hAnsi="Garamond"/>
                <w:highlight w:val="yellow"/>
              </w:rPr>
              <w:t xml:space="preserve"> реестр неисполненных (исполненных ненадлежащим образом) обязательств, на задолженность по которым расчет неустойки (пени) не производится. Указанный реестр формируется ЦФР на основании предельной суммы задолженности такого участника на начало квартала, внутри которого формируется реестр,</w:t>
            </w:r>
            <w:r w:rsidRPr="00DD57D1">
              <w:rPr>
                <w:rFonts w:ascii="Garamond" w:hAnsi="Garamond"/>
                <w:sz w:val="24"/>
                <w:szCs w:val="24"/>
                <w:highlight w:val="yellow"/>
              </w:rPr>
              <w:t xml:space="preserve"> </w:t>
            </w:r>
            <w:r w:rsidRPr="00DD57D1">
              <w:rPr>
                <w:rFonts w:ascii="Garamond" w:hAnsi="Garamond"/>
                <w:highlight w:val="yellow"/>
              </w:rPr>
              <w:t>указанной в предоставленном СР уведомлении в адрес ЦФР</w:t>
            </w:r>
            <w:r w:rsidR="00DE7228" w:rsidRPr="00DD57D1">
              <w:rPr>
                <w:rFonts w:ascii="Garamond" w:hAnsi="Garamond"/>
                <w:highlight w:val="yellow"/>
              </w:rPr>
              <w:t>.</w:t>
            </w:r>
          </w:p>
          <w:p w14:paraId="2458E1D1" w14:textId="4F35C3C5" w:rsidR="00CB3C41" w:rsidRPr="00DD57D1" w:rsidRDefault="006D7B11" w:rsidP="00DD57D1">
            <w:pPr>
              <w:spacing w:before="120" w:after="120" w:line="240" w:lineRule="auto"/>
              <w:ind w:firstLine="567"/>
              <w:jc w:val="both"/>
              <w:rPr>
                <w:rFonts w:ascii="Garamond" w:hAnsi="Garamond"/>
                <w:highlight w:val="yellow"/>
              </w:rPr>
            </w:pPr>
            <w:r w:rsidRPr="00DD57D1">
              <w:rPr>
                <w:rFonts w:ascii="Garamond" w:hAnsi="Garamond"/>
                <w:highlight w:val="yellow"/>
              </w:rPr>
              <w:t xml:space="preserve">Предельная сумма задолженности определяется </w:t>
            </w:r>
            <w:r w:rsidR="00E81F6A" w:rsidRPr="00DD57D1">
              <w:rPr>
                <w:rFonts w:ascii="Garamond" w:hAnsi="Garamond"/>
                <w:highlight w:val="yellow"/>
              </w:rPr>
              <w:t>СР</w:t>
            </w:r>
            <w:r w:rsidRPr="00DD57D1">
              <w:rPr>
                <w:rFonts w:ascii="Garamond" w:hAnsi="Garamond"/>
                <w:highlight w:val="yellow"/>
              </w:rPr>
              <w:t xml:space="preserve"> как фактическая задолженность такого участника </w:t>
            </w:r>
            <w:r w:rsidR="00DD57D1" w:rsidRPr="00DD57D1">
              <w:rPr>
                <w:rFonts w:ascii="Garamond" w:hAnsi="Garamond"/>
                <w:highlight w:val="yellow"/>
              </w:rPr>
              <w:t xml:space="preserve">оптового рынка </w:t>
            </w:r>
            <w:r w:rsidRPr="00DD57D1">
              <w:rPr>
                <w:rFonts w:ascii="Garamond" w:hAnsi="Garamond"/>
                <w:highlight w:val="yellow"/>
              </w:rPr>
              <w:t>по оплате электрической энергии, мощности и услуг на оптовом рынке на 01.01.2020, представленная ЦФР в СР в срок не позднее 5 (пяти) рабочих дней после даты заседания Наблюдательного совета</w:t>
            </w:r>
            <w:r w:rsidR="00E81F6A" w:rsidRPr="00DD57D1">
              <w:rPr>
                <w:rFonts w:ascii="Garamond" w:hAnsi="Garamond"/>
                <w:highlight w:val="yellow"/>
              </w:rPr>
              <w:t xml:space="preserve"> СР</w:t>
            </w:r>
            <w:r w:rsidRPr="00DD57D1">
              <w:rPr>
                <w:rFonts w:ascii="Garamond" w:hAnsi="Garamond"/>
                <w:highlight w:val="yellow"/>
              </w:rPr>
              <w:t>, на котором принято решение об особенностях расчета с 01.01.2025 по 30.06.2027 неустойки (пени) на задолженность участника оптового рынка, у которого прекращен статус участника – кредитора потребителя РРЭ, предусмотренных настоящим пунктом, уменьшенная на величины погашения основного долга согласно графику снижения задолженности перед поставщиками оптового рынка, утвержденному 24.07.2020 Наблюдательным советом СР.</w:t>
            </w:r>
          </w:p>
          <w:p w14:paraId="00DBC57A" w14:textId="21A89263" w:rsidR="00CB3C41" w:rsidRPr="00DD57D1" w:rsidRDefault="006D7B11" w:rsidP="00DD57D1">
            <w:pPr>
              <w:spacing w:before="120" w:after="120" w:line="240" w:lineRule="auto"/>
              <w:ind w:firstLine="567"/>
              <w:jc w:val="both"/>
              <w:rPr>
                <w:rFonts w:ascii="Garamond" w:hAnsi="Garamond"/>
              </w:rPr>
            </w:pPr>
            <w:r w:rsidRPr="00DD57D1">
              <w:rPr>
                <w:rFonts w:ascii="Garamond" w:hAnsi="Garamond"/>
                <w:highlight w:val="yellow"/>
              </w:rPr>
              <w:t xml:space="preserve">Не позднее 5 (пяти) рабочих дней после представления ЦФР в СР фактической задолженности такого участника </w:t>
            </w:r>
            <w:r w:rsidR="00DD57D1" w:rsidRPr="00DD57D1">
              <w:rPr>
                <w:rFonts w:ascii="Garamond" w:hAnsi="Garamond"/>
                <w:highlight w:val="yellow"/>
              </w:rPr>
              <w:t xml:space="preserve">оптового рынка </w:t>
            </w:r>
            <w:r w:rsidRPr="00DD57D1">
              <w:rPr>
                <w:rFonts w:ascii="Garamond" w:hAnsi="Garamond"/>
                <w:highlight w:val="yellow"/>
              </w:rPr>
              <w:t xml:space="preserve">по оплате электрической энергии, мощности и услуг на оптовом рынке на 01.01.2020 СР направляет в адрес ЦФР соответствующее письменное уведомление, содержащее предельную сумму задолженности на начало каждого квартала периода с </w:t>
            </w:r>
            <w:r w:rsidR="00E81F6A" w:rsidRPr="00DD57D1">
              <w:rPr>
                <w:rFonts w:ascii="Garamond" w:hAnsi="Garamond"/>
                <w:highlight w:val="yellow"/>
              </w:rPr>
              <w:t>0</w:t>
            </w:r>
            <w:r w:rsidRPr="00DD57D1">
              <w:rPr>
                <w:rFonts w:ascii="Garamond" w:hAnsi="Garamond"/>
                <w:highlight w:val="yellow"/>
              </w:rPr>
              <w:t>1</w:t>
            </w:r>
            <w:r w:rsidR="00E81F6A" w:rsidRPr="00DD57D1">
              <w:rPr>
                <w:rFonts w:ascii="Garamond" w:hAnsi="Garamond"/>
                <w:highlight w:val="yellow"/>
              </w:rPr>
              <w:t>.01.</w:t>
            </w:r>
            <w:r w:rsidRPr="00DD57D1">
              <w:rPr>
                <w:rFonts w:ascii="Garamond" w:hAnsi="Garamond"/>
                <w:highlight w:val="yellow"/>
              </w:rPr>
              <w:t>2025 по 30.06.2027.</w:t>
            </w:r>
          </w:p>
          <w:p w14:paraId="0A3395CB" w14:textId="77777777" w:rsidR="00CB3C41" w:rsidRPr="00DD57D1" w:rsidRDefault="006D7B11" w:rsidP="00DD57D1">
            <w:pPr>
              <w:spacing w:before="120" w:after="120" w:line="240" w:lineRule="auto"/>
              <w:ind w:firstLine="567"/>
              <w:jc w:val="both"/>
              <w:rPr>
                <w:rFonts w:ascii="Garamond" w:hAnsi="Garamond"/>
                <w:highlight w:val="yellow"/>
              </w:rPr>
            </w:pPr>
            <w:r w:rsidRPr="00DD57D1">
              <w:rPr>
                <w:rFonts w:ascii="Garamond" w:hAnsi="Garamond"/>
                <w:highlight w:val="yellow"/>
              </w:rPr>
              <w:t xml:space="preserve">Обязательства, подлежащие включению в указанный реестр неисполненных (исполненных ненадлежащим образом) обязательств, на задолженность по которым расчет неустойки (пени) не производится, определяются путем последовательного отбора неисполненных (исполненных ненадлежащим образом) обязательств до момента превышения совокупности неисполненных сумм обязательств над предельной суммой задолженности, указанной в предоставленном СР в ЦФР письменном уведомлении, с условием соблюдения принципа неделимости неисполненных </w:t>
            </w:r>
            <w:r w:rsidRPr="00DD57D1">
              <w:rPr>
                <w:rFonts w:ascii="Garamond" w:hAnsi="Garamond"/>
                <w:highlight w:val="yellow"/>
              </w:rPr>
              <w:lastRenderedPageBreak/>
              <w:t>обязательств, дата платежа по которым наступила в одну календарную дату и в отношении которых пп. 2.3.2 и 2.3.3 настоящего Регламента установлена одинаковая очередность. Отбор обязательств производится следующим образом:</w:t>
            </w:r>
          </w:p>
          <w:p w14:paraId="78063043" w14:textId="77777777" w:rsidR="00CB3C41" w:rsidRPr="00DD57D1" w:rsidRDefault="006D7B11" w:rsidP="00DD57D1">
            <w:pPr>
              <w:spacing w:before="120" w:after="120" w:line="240" w:lineRule="auto"/>
              <w:ind w:firstLine="567"/>
              <w:jc w:val="both"/>
              <w:rPr>
                <w:rFonts w:ascii="Garamond" w:hAnsi="Garamond"/>
                <w:highlight w:val="yellow"/>
              </w:rPr>
            </w:pPr>
            <w:r w:rsidRPr="00DD57D1">
              <w:rPr>
                <w:rFonts w:ascii="Garamond" w:hAnsi="Garamond"/>
                <w:highlight w:val="yellow"/>
              </w:rPr>
              <w:t>– в первую очередь выбираются обязательства за расчетные периоды до 1 июля 2013 года, начиная с обязательств с наиболее поздней датой платежа;</w:t>
            </w:r>
          </w:p>
          <w:p w14:paraId="2076636E" w14:textId="77777777" w:rsidR="00CB3C41" w:rsidRPr="00DD57D1" w:rsidRDefault="006D7B11" w:rsidP="00DD57D1">
            <w:pPr>
              <w:spacing w:before="120" w:after="120" w:line="240" w:lineRule="auto"/>
              <w:ind w:firstLine="567"/>
              <w:jc w:val="both"/>
              <w:rPr>
                <w:rFonts w:ascii="Garamond" w:hAnsi="Garamond"/>
              </w:rPr>
            </w:pPr>
            <w:r w:rsidRPr="00DD57D1">
              <w:rPr>
                <w:rFonts w:ascii="Garamond" w:hAnsi="Garamond"/>
                <w:highlight w:val="yellow"/>
              </w:rPr>
              <w:t>– во вторую очередь выбираются обязательства за расчетные периоды с 1 июля 2013 года, начиная с обязательств с наиболее поздней датой платежа.</w:t>
            </w:r>
          </w:p>
          <w:p w14:paraId="78D1302D" w14:textId="77777777" w:rsidR="00CB3C41" w:rsidRPr="00DD57D1" w:rsidRDefault="006D7B11" w:rsidP="00DD57D1">
            <w:pPr>
              <w:pStyle w:val="a5"/>
              <w:spacing w:before="120" w:after="120"/>
              <w:ind w:left="0" w:firstLine="567"/>
              <w:jc w:val="both"/>
              <w:rPr>
                <w:rFonts w:ascii="Garamond" w:hAnsi="Garamond"/>
                <w:sz w:val="22"/>
                <w:szCs w:val="22"/>
                <w:highlight w:val="yellow"/>
              </w:rPr>
            </w:pPr>
            <w:r w:rsidRPr="00DD57D1">
              <w:rPr>
                <w:rFonts w:ascii="Garamond" w:hAnsi="Garamond"/>
                <w:sz w:val="22"/>
                <w:szCs w:val="22"/>
                <w:highlight w:val="yellow"/>
              </w:rPr>
              <w:t>Начиная с 01.01.2025 по 30.06.2027 ЦФР:</w:t>
            </w:r>
          </w:p>
          <w:p w14:paraId="0C32178D" w14:textId="16BD8FCB" w:rsidR="00CB3C41" w:rsidRPr="00DD57D1" w:rsidRDefault="00DD57D1" w:rsidP="00DD57D1">
            <w:pPr>
              <w:pStyle w:val="a5"/>
              <w:spacing w:before="120" w:after="120"/>
              <w:ind w:left="0" w:firstLine="567"/>
              <w:jc w:val="both"/>
              <w:rPr>
                <w:rFonts w:ascii="Garamond" w:hAnsi="Garamond"/>
                <w:sz w:val="22"/>
                <w:szCs w:val="22"/>
                <w:highlight w:val="yellow"/>
              </w:rPr>
            </w:pPr>
            <w:r>
              <w:rPr>
                <w:rFonts w:ascii="Garamond" w:hAnsi="Garamond"/>
                <w:sz w:val="22"/>
                <w:szCs w:val="22"/>
                <w:highlight w:val="yellow"/>
              </w:rPr>
              <w:t>–</w:t>
            </w:r>
            <w:r w:rsidR="006D7B11" w:rsidRPr="00DD57D1">
              <w:rPr>
                <w:rFonts w:ascii="Garamond" w:hAnsi="Garamond"/>
                <w:sz w:val="22"/>
                <w:szCs w:val="22"/>
                <w:highlight w:val="yellow"/>
              </w:rPr>
              <w:t xml:space="preserve"> ежемесячно, в первый рабочий день месяца, в который ЦФР проводит сессии с УКО, формирует в</w:t>
            </w:r>
            <w:r>
              <w:rPr>
                <w:rFonts w:ascii="Garamond" w:hAnsi="Garamond"/>
                <w:sz w:val="22"/>
                <w:szCs w:val="22"/>
                <w:highlight w:val="yellow"/>
              </w:rPr>
              <w:t xml:space="preserve"> порядке, указанном в абзацах 6–</w:t>
            </w:r>
            <w:r w:rsidR="00E81F6A" w:rsidRPr="00DD57D1">
              <w:rPr>
                <w:rFonts w:ascii="Garamond" w:hAnsi="Garamond"/>
                <w:sz w:val="22"/>
                <w:szCs w:val="22"/>
                <w:highlight w:val="yellow"/>
              </w:rPr>
              <w:t>11</w:t>
            </w:r>
            <w:r w:rsidR="006D7B11" w:rsidRPr="00DD57D1">
              <w:rPr>
                <w:rFonts w:ascii="Garamond" w:hAnsi="Garamond"/>
                <w:sz w:val="22"/>
                <w:szCs w:val="22"/>
                <w:highlight w:val="yellow"/>
              </w:rPr>
              <w:t xml:space="preserve"> настоящего пункта, </w:t>
            </w:r>
            <w:r w:rsidR="00E81F6A" w:rsidRPr="00DD57D1">
              <w:rPr>
                <w:rFonts w:ascii="Garamond" w:hAnsi="Garamond"/>
                <w:sz w:val="22"/>
                <w:szCs w:val="22"/>
                <w:highlight w:val="yellow"/>
              </w:rPr>
              <w:t>р</w:t>
            </w:r>
            <w:r w:rsidR="006D7B11" w:rsidRPr="00DD57D1">
              <w:rPr>
                <w:rFonts w:ascii="Garamond" w:hAnsi="Garamond"/>
                <w:sz w:val="22"/>
                <w:szCs w:val="22"/>
                <w:highlight w:val="yellow"/>
              </w:rPr>
              <w:t>еестр неисполненных (исполненных ненадлежащим образом) обязательств участника, у которого прекращен статус участника – кредитора потребителя РРЭ, на которые не производится расчет неустойки (пени), с учетом информации о предельной сумме задолженности, указанной в предоставленном СР в ЦФР письменном уведомлении;</w:t>
            </w:r>
          </w:p>
          <w:p w14:paraId="78BE3098" w14:textId="77777777" w:rsidR="00CB3C41" w:rsidRPr="00DD57D1" w:rsidRDefault="006D7B11" w:rsidP="00DD57D1">
            <w:pPr>
              <w:pStyle w:val="a5"/>
              <w:spacing w:before="120" w:after="120"/>
              <w:ind w:left="0" w:firstLine="567"/>
              <w:jc w:val="both"/>
              <w:rPr>
                <w:rFonts w:ascii="Garamond" w:eastAsia="Calibri" w:hAnsi="Garamond"/>
                <w:sz w:val="22"/>
                <w:szCs w:val="22"/>
                <w:lang w:eastAsia="en-US"/>
              </w:rPr>
            </w:pPr>
            <w:r w:rsidRPr="00DD57D1">
              <w:rPr>
                <w:rFonts w:ascii="Garamond" w:eastAsia="Calibri" w:hAnsi="Garamond"/>
                <w:sz w:val="22"/>
                <w:szCs w:val="22"/>
                <w:highlight w:val="yellow"/>
                <w:lang w:eastAsia="en-US"/>
              </w:rPr>
              <w:t>– не производит расчет неустойки (пени) такого участника оптового рынка по обязательствам, включенным в реестр неисполненных (исполненных ненадлежащим образом) обязательств;</w:t>
            </w:r>
          </w:p>
          <w:p w14:paraId="335B3626" w14:textId="157A68E6" w:rsidR="00CB3C41" w:rsidRPr="00DD57D1" w:rsidRDefault="006D7B11" w:rsidP="00DD57D1">
            <w:pPr>
              <w:pStyle w:val="a5"/>
              <w:spacing w:before="120" w:after="120"/>
              <w:ind w:left="0" w:firstLine="567"/>
              <w:jc w:val="both"/>
              <w:rPr>
                <w:rFonts w:ascii="Garamond" w:eastAsia="Calibri" w:hAnsi="Garamond"/>
                <w:sz w:val="22"/>
                <w:szCs w:val="22"/>
                <w:lang w:eastAsia="en-US"/>
              </w:rPr>
            </w:pPr>
            <w:r w:rsidRPr="00DD57D1">
              <w:rPr>
                <w:rFonts w:ascii="Garamond" w:eastAsia="Calibri" w:hAnsi="Garamond"/>
                <w:sz w:val="22"/>
                <w:szCs w:val="22"/>
                <w:highlight w:val="yellow"/>
                <w:lang w:eastAsia="en-US"/>
              </w:rPr>
              <w:t>– производит расчет неустойки (пени) такого участника оптового рынка по обязательствам, не включенным в реестр неисполненных (исполненных ненадлежащим образом) обязательств</w:t>
            </w:r>
            <w:r w:rsidR="00BB19E7">
              <w:rPr>
                <w:rFonts w:ascii="Garamond" w:eastAsia="Calibri" w:hAnsi="Garamond"/>
                <w:sz w:val="22"/>
                <w:szCs w:val="22"/>
                <w:highlight w:val="yellow"/>
                <w:lang w:eastAsia="en-US"/>
              </w:rPr>
              <w:t>,</w:t>
            </w:r>
            <w:r w:rsidRPr="00DD57D1">
              <w:rPr>
                <w:rFonts w:ascii="Garamond" w:eastAsia="Calibri" w:hAnsi="Garamond"/>
                <w:sz w:val="22"/>
                <w:szCs w:val="22"/>
                <w:highlight w:val="yellow"/>
                <w:lang w:eastAsia="en-US"/>
              </w:rPr>
              <w:t xml:space="preserve"> срок исполнения которых наступил на дату формирования указанного реестра;</w:t>
            </w:r>
          </w:p>
          <w:p w14:paraId="4D391E41" w14:textId="332E909F" w:rsidR="00CB3C41" w:rsidRPr="00DD57D1" w:rsidRDefault="006D7B11" w:rsidP="00DD57D1">
            <w:pPr>
              <w:pStyle w:val="a5"/>
              <w:spacing w:before="120" w:after="120"/>
              <w:ind w:left="0" w:firstLine="567"/>
              <w:jc w:val="both"/>
              <w:rPr>
                <w:rFonts w:ascii="Garamond" w:hAnsi="Garamond"/>
                <w:sz w:val="22"/>
                <w:szCs w:val="22"/>
                <w:highlight w:val="yellow"/>
              </w:rPr>
            </w:pPr>
            <w:r w:rsidRPr="00DD57D1">
              <w:rPr>
                <w:rFonts w:ascii="Garamond" w:eastAsia="Calibri" w:hAnsi="Garamond"/>
                <w:sz w:val="22"/>
                <w:szCs w:val="22"/>
                <w:highlight w:val="yellow"/>
                <w:lang w:eastAsia="en-US"/>
              </w:rPr>
              <w:t>–</w:t>
            </w:r>
            <w:r w:rsidRPr="00DD57D1">
              <w:rPr>
                <w:rFonts w:ascii="Garamond" w:hAnsi="Garamond"/>
                <w:sz w:val="22"/>
                <w:szCs w:val="22"/>
                <w:highlight w:val="yellow"/>
              </w:rPr>
              <w:t xml:space="preserve"> не производит расчет неустойки (пени) в месяце, в котором осуществляется формирование реестра неисполненных (исполненных ненадлежащим образом) обязательств, на которые не производится расчет неустойки (пени), </w:t>
            </w:r>
            <w:r w:rsidR="00BB19E7">
              <w:rPr>
                <w:rFonts w:ascii="Garamond" w:hAnsi="Garamond"/>
                <w:sz w:val="22"/>
                <w:szCs w:val="22"/>
                <w:highlight w:val="yellow"/>
              </w:rPr>
              <w:t>по</w:t>
            </w:r>
            <w:r w:rsidRPr="00DD57D1">
              <w:rPr>
                <w:rFonts w:ascii="Garamond" w:hAnsi="Garamond"/>
                <w:sz w:val="22"/>
                <w:szCs w:val="22"/>
                <w:highlight w:val="yellow"/>
              </w:rPr>
              <w:t xml:space="preserve"> обязательства</w:t>
            </w:r>
            <w:r w:rsidR="00BB19E7">
              <w:rPr>
                <w:rFonts w:ascii="Garamond" w:hAnsi="Garamond"/>
                <w:sz w:val="22"/>
                <w:szCs w:val="22"/>
                <w:highlight w:val="yellow"/>
              </w:rPr>
              <w:t>м</w:t>
            </w:r>
            <w:bookmarkStart w:id="0" w:name="_GoBack"/>
            <w:bookmarkEnd w:id="0"/>
            <w:r w:rsidRPr="00DD57D1">
              <w:rPr>
                <w:rFonts w:ascii="Garamond" w:hAnsi="Garamond"/>
                <w:sz w:val="22"/>
                <w:szCs w:val="22"/>
                <w:highlight w:val="yellow"/>
              </w:rPr>
              <w:t>, дата платежа которых наступила 14, 21, 28</w:t>
            </w:r>
            <w:r w:rsidR="00DD57D1">
              <w:rPr>
                <w:rFonts w:ascii="Garamond" w:hAnsi="Garamond"/>
                <w:sz w:val="22"/>
                <w:szCs w:val="22"/>
                <w:highlight w:val="yellow"/>
              </w:rPr>
              <w:t>-го</w:t>
            </w:r>
            <w:r w:rsidRPr="00DD57D1">
              <w:rPr>
                <w:rFonts w:ascii="Garamond" w:hAnsi="Garamond"/>
                <w:sz w:val="22"/>
                <w:szCs w:val="22"/>
                <w:highlight w:val="yellow"/>
              </w:rPr>
              <w:t xml:space="preserve"> числа данного месяца;</w:t>
            </w:r>
          </w:p>
          <w:p w14:paraId="234A8446" w14:textId="6B81CE85" w:rsidR="00CB3C41" w:rsidRPr="00DD57D1" w:rsidRDefault="006D7B11" w:rsidP="00DD57D1">
            <w:pPr>
              <w:pStyle w:val="a5"/>
              <w:spacing w:before="120" w:after="120"/>
              <w:ind w:left="0" w:firstLine="567"/>
              <w:jc w:val="both"/>
              <w:rPr>
                <w:rFonts w:ascii="Garamond" w:eastAsia="Calibri" w:hAnsi="Garamond"/>
                <w:sz w:val="22"/>
                <w:szCs w:val="22"/>
                <w:highlight w:val="yellow"/>
                <w:lang w:eastAsia="en-US"/>
              </w:rPr>
            </w:pPr>
            <w:r w:rsidRPr="00DD57D1">
              <w:rPr>
                <w:rFonts w:ascii="Garamond" w:hAnsi="Garamond"/>
                <w:sz w:val="22"/>
                <w:szCs w:val="22"/>
                <w:highlight w:val="yellow"/>
              </w:rPr>
              <w:t xml:space="preserve">– </w:t>
            </w:r>
            <w:r w:rsidRPr="00DD57D1">
              <w:rPr>
                <w:rFonts w:ascii="Garamond" w:eastAsia="Calibri" w:hAnsi="Garamond"/>
                <w:sz w:val="22"/>
                <w:szCs w:val="22"/>
                <w:highlight w:val="yellow"/>
                <w:lang w:eastAsia="en-US"/>
              </w:rPr>
              <w:t xml:space="preserve">не включает в Сводный реестр платежей, передаваемый в уполномоченную кредитную организацию, все обязательства по </w:t>
            </w:r>
            <w:r w:rsidR="00DD57D1">
              <w:rPr>
                <w:rFonts w:ascii="Garamond" w:eastAsia="Calibri" w:hAnsi="Garamond"/>
                <w:sz w:val="22"/>
                <w:szCs w:val="22"/>
                <w:highlight w:val="yellow"/>
                <w:lang w:eastAsia="en-US"/>
              </w:rPr>
              <w:t>у</w:t>
            </w:r>
            <w:r w:rsidRPr="00DD57D1">
              <w:rPr>
                <w:rFonts w:ascii="Garamond" w:eastAsia="Calibri" w:hAnsi="Garamond"/>
                <w:sz w:val="22"/>
                <w:szCs w:val="22"/>
                <w:highlight w:val="yellow"/>
                <w:lang w:eastAsia="en-US"/>
              </w:rPr>
              <w:t>плате неустойки (пени), рассчитанные за нарушение таким участником сроков исполнения обязательств по оплате</w:t>
            </w:r>
            <w:r w:rsidRPr="00DD57D1">
              <w:rPr>
                <w:rFonts w:ascii="Garamond" w:hAnsi="Garamond"/>
                <w:bCs/>
                <w:color w:val="000000"/>
                <w:sz w:val="22"/>
                <w:szCs w:val="22"/>
                <w:highlight w:val="yellow"/>
              </w:rPr>
              <w:t>, перечисленных в пункте 12.1 настоящего Регламента,</w:t>
            </w:r>
            <w:r w:rsidRPr="00DD57D1">
              <w:rPr>
                <w:rFonts w:ascii="Garamond" w:eastAsia="Calibri" w:hAnsi="Garamond"/>
                <w:sz w:val="22"/>
                <w:szCs w:val="22"/>
                <w:highlight w:val="yellow"/>
                <w:lang w:eastAsia="en-US"/>
              </w:rPr>
              <w:t xml:space="preserve"> и не исполненные </w:t>
            </w:r>
            <w:r w:rsidRPr="00DD57D1">
              <w:rPr>
                <w:rFonts w:ascii="Garamond" w:hAnsi="Garamond"/>
                <w:sz w:val="22"/>
                <w:szCs w:val="22"/>
                <w:highlight w:val="yellow"/>
                <w:lang w:eastAsia="en-US"/>
              </w:rPr>
              <w:t>до 01.07.2016,</w:t>
            </w:r>
            <w:r w:rsidRPr="00DD57D1">
              <w:rPr>
                <w:rFonts w:ascii="Garamond" w:eastAsia="Calibri" w:hAnsi="Garamond"/>
                <w:sz w:val="22"/>
                <w:szCs w:val="22"/>
                <w:highlight w:val="yellow"/>
                <w:lang w:eastAsia="en-US"/>
              </w:rPr>
              <w:t xml:space="preserve"> а также рассчитанные за нарушение сроков исполнения обязательств по оплате, перечисленных в пункте 12.1 настоящего Регламента, в период </w:t>
            </w:r>
            <w:r w:rsidRPr="00DD57D1">
              <w:rPr>
                <w:rFonts w:ascii="Garamond" w:hAnsi="Garamond"/>
                <w:sz w:val="22"/>
                <w:szCs w:val="22"/>
                <w:highlight w:val="yellow"/>
                <w:lang w:eastAsia="en-US"/>
              </w:rPr>
              <w:t>с 01.07.2016</w:t>
            </w:r>
            <w:r w:rsidRPr="00DD57D1">
              <w:rPr>
                <w:rFonts w:ascii="Garamond" w:eastAsia="Calibri" w:hAnsi="Garamond"/>
                <w:sz w:val="22"/>
                <w:szCs w:val="22"/>
                <w:highlight w:val="yellow"/>
                <w:lang w:eastAsia="en-US"/>
              </w:rPr>
              <w:t xml:space="preserve"> по 30.06.2027;</w:t>
            </w:r>
          </w:p>
          <w:p w14:paraId="7CC1310A" w14:textId="77777777" w:rsidR="00CB3C41" w:rsidRPr="00DD57D1" w:rsidRDefault="006D7B11" w:rsidP="00DD57D1">
            <w:pPr>
              <w:pStyle w:val="a5"/>
              <w:spacing w:before="120" w:after="120"/>
              <w:ind w:left="0" w:firstLine="567"/>
              <w:jc w:val="both"/>
              <w:rPr>
                <w:rFonts w:ascii="Garamond" w:hAnsi="Garamond"/>
                <w:sz w:val="22"/>
                <w:szCs w:val="22"/>
              </w:rPr>
            </w:pPr>
            <w:r w:rsidRPr="00DD57D1">
              <w:rPr>
                <w:rFonts w:ascii="Garamond" w:hAnsi="Garamond"/>
                <w:sz w:val="22"/>
                <w:szCs w:val="22"/>
                <w:highlight w:val="yellow"/>
              </w:rPr>
              <w:t xml:space="preserve">– </w:t>
            </w:r>
            <w:r w:rsidRPr="00DD57D1">
              <w:rPr>
                <w:rFonts w:ascii="Garamond" w:eastAsia="Calibri" w:hAnsi="Garamond"/>
                <w:sz w:val="22"/>
                <w:szCs w:val="22"/>
                <w:highlight w:val="yellow"/>
                <w:lang w:eastAsia="en-US"/>
              </w:rPr>
              <w:t xml:space="preserve">не позднее следующего рабочего дня за днем формирования реестра неисполненных (исполненных ненадлежащим образом) обязательств, на которые не производится расчет неустойки (пени), уведомляет участников </w:t>
            </w:r>
            <w:r w:rsidRPr="00DD57D1">
              <w:rPr>
                <w:rFonts w:ascii="Garamond" w:eastAsia="Calibri" w:hAnsi="Garamond"/>
                <w:sz w:val="22"/>
                <w:szCs w:val="22"/>
                <w:highlight w:val="yellow"/>
                <w:lang w:eastAsia="en-US"/>
              </w:rPr>
              <w:lastRenderedPageBreak/>
              <w:t>оптового рынка о размере обязательств, включенных в указанный реестр, путем публикации уведомления по форме приложения 126 к настоящему Регламенту на сайте КО, в разделе с ограниченным в соответствии с Правилами ЭДО СЭД КО доступом, с применением ЭП.</w:t>
            </w:r>
          </w:p>
          <w:p w14:paraId="1A835501" w14:textId="77777777" w:rsidR="00CB3C41" w:rsidRPr="00DD57D1" w:rsidRDefault="006D7B11" w:rsidP="00DD57D1">
            <w:pPr>
              <w:pStyle w:val="a3"/>
              <w:ind w:firstLine="567"/>
              <w:rPr>
                <w:rFonts w:ascii="Garamond" w:hAnsi="Garamond"/>
                <w:bCs/>
                <w:color w:val="000000"/>
                <w:szCs w:val="22"/>
                <w:lang w:val="ru-RU"/>
              </w:rPr>
            </w:pPr>
            <w:r w:rsidRPr="00DD57D1">
              <w:rPr>
                <w:rFonts w:ascii="Garamond" w:hAnsi="Garamond"/>
                <w:bCs/>
                <w:color w:val="000000"/>
                <w:szCs w:val="22"/>
                <w:lang w:val="ru-RU"/>
              </w:rPr>
              <w:t xml:space="preserve">ЦФР осуществляет в отношении такого участника учет исполнения обязательств по оплате неустойки (пени) вне уполномоченной кредитной организации, а также прекращение учета обязательств по оплате неустойки (пени) в соответствии с настоящим Регламентом. </w:t>
            </w:r>
          </w:p>
          <w:p w14:paraId="3B60D151" w14:textId="4815E361" w:rsidR="00CB3C41" w:rsidRPr="00DD57D1" w:rsidRDefault="006D7B11" w:rsidP="00DD57D1">
            <w:pPr>
              <w:widowControl w:val="0"/>
              <w:spacing w:before="120" w:after="120" w:line="240" w:lineRule="auto"/>
              <w:ind w:firstLine="608"/>
              <w:jc w:val="both"/>
              <w:rPr>
                <w:rFonts w:ascii="Garamond" w:hAnsi="Garamond"/>
                <w:b/>
              </w:rPr>
            </w:pPr>
            <w:r w:rsidRPr="00DD57D1">
              <w:rPr>
                <w:rFonts w:ascii="Garamond" w:hAnsi="Garamond"/>
                <w:bCs/>
                <w:color w:val="000000"/>
              </w:rPr>
              <w:t xml:space="preserve">Начиная </w:t>
            </w:r>
            <w:r w:rsidRPr="00DD57D1">
              <w:rPr>
                <w:rFonts w:ascii="Garamond" w:hAnsi="Garamond"/>
              </w:rPr>
              <w:t xml:space="preserve">c </w:t>
            </w:r>
            <w:r w:rsidRPr="00DD57D1">
              <w:rPr>
                <w:rFonts w:ascii="Garamond" w:hAnsi="Garamond"/>
                <w:highlight w:val="yellow"/>
              </w:rPr>
              <w:t>01.07.2027</w:t>
            </w:r>
            <w:r w:rsidRPr="00DD57D1">
              <w:rPr>
                <w:rFonts w:ascii="Garamond" w:hAnsi="Garamond"/>
                <w:bCs/>
                <w:color w:val="000000"/>
              </w:rPr>
              <w:t xml:space="preserve"> ЦФР включает в Сводный реестр платежей, передаваемый в уполномоченную кредитную организацию, все обязательства по </w:t>
            </w:r>
            <w:r w:rsidR="00DD57D1" w:rsidRPr="00DD57D1">
              <w:rPr>
                <w:rFonts w:ascii="Garamond" w:hAnsi="Garamond"/>
                <w:bCs/>
                <w:color w:val="000000"/>
                <w:highlight w:val="yellow"/>
              </w:rPr>
              <w:t>у</w:t>
            </w:r>
            <w:r w:rsidRPr="00DD57D1">
              <w:rPr>
                <w:rFonts w:ascii="Garamond" w:hAnsi="Garamond"/>
                <w:bCs/>
                <w:color w:val="000000"/>
              </w:rPr>
              <w:t xml:space="preserve">плате неустойки (пени), рассчитанные за нарушение участником, в отношении которого прекращен статус участника – кредитора потребителя РРЭ, обязательств по оплате электрической энергии и (или) мощности, </w:t>
            </w:r>
            <w:r w:rsidRPr="00DD57D1">
              <w:rPr>
                <w:rFonts w:ascii="Garamond" w:hAnsi="Garamond"/>
                <w:bCs/>
              </w:rPr>
              <w:t>услуг по управлению изменением режима потребления электрической энергии, оказанных по договорам оказания услуг по управлению изменением режима потребления</w:t>
            </w:r>
            <w:r w:rsidRPr="00DD57D1">
              <w:rPr>
                <w:rFonts w:ascii="Garamond" w:hAnsi="Garamond"/>
                <w:bCs/>
                <w:color w:val="000000"/>
              </w:rPr>
              <w:t xml:space="preserve">, а также услуг инфраструктурных организаций и не </w:t>
            </w:r>
            <w:r w:rsidRPr="00DD57D1">
              <w:rPr>
                <w:rFonts w:ascii="Garamond" w:hAnsi="Garamond"/>
                <w:bCs/>
                <w:color w:val="000000"/>
                <w:highlight w:val="yellow"/>
              </w:rPr>
              <w:t>прекращенные в соответствии с настоящим Регламентом</w:t>
            </w:r>
            <w:r w:rsidRPr="00DD57D1">
              <w:rPr>
                <w:rFonts w:ascii="Garamond" w:hAnsi="Garamond"/>
                <w:bCs/>
                <w:color w:val="000000"/>
              </w:rPr>
              <w:t xml:space="preserve"> </w:t>
            </w:r>
            <w:r w:rsidRPr="00DD57D1">
              <w:rPr>
                <w:rFonts w:ascii="Garamond" w:hAnsi="Garamond"/>
              </w:rPr>
              <w:t xml:space="preserve">до </w:t>
            </w:r>
            <w:r w:rsidRPr="00DD57D1">
              <w:rPr>
                <w:rFonts w:ascii="Garamond" w:hAnsi="Garamond"/>
                <w:highlight w:val="yellow"/>
              </w:rPr>
              <w:t>01.07.2027</w:t>
            </w:r>
            <w:r w:rsidRPr="00DD57D1">
              <w:rPr>
                <w:rFonts w:ascii="Garamond" w:hAnsi="Garamond"/>
                <w:bCs/>
                <w:color w:val="000000"/>
              </w:rPr>
              <w:t>.</w:t>
            </w:r>
          </w:p>
        </w:tc>
      </w:tr>
    </w:tbl>
    <w:p w14:paraId="32A511E2" w14:textId="77777777" w:rsidR="00CB3C41" w:rsidRDefault="00CB3C41"/>
    <w:sectPr w:rsidR="00CB3C41" w:rsidSect="00364478">
      <w:pgSz w:w="16838" w:h="11906" w:orient="landscape"/>
      <w:pgMar w:top="1134" w:right="851" w:bottom="90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BD5F5" w14:textId="77777777" w:rsidR="00340F15" w:rsidRDefault="00340F15" w:rsidP="003046A5">
      <w:pPr>
        <w:spacing w:after="0" w:line="240" w:lineRule="auto"/>
      </w:pPr>
      <w:r>
        <w:separator/>
      </w:r>
    </w:p>
  </w:endnote>
  <w:endnote w:type="continuationSeparator" w:id="0">
    <w:p w14:paraId="72F2CEBA" w14:textId="77777777" w:rsidR="00340F15" w:rsidRDefault="00340F15" w:rsidP="0030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B96E7" w14:textId="77777777" w:rsidR="00340F15" w:rsidRDefault="00340F15" w:rsidP="003046A5">
      <w:pPr>
        <w:spacing w:after="0" w:line="240" w:lineRule="auto"/>
      </w:pPr>
      <w:r>
        <w:separator/>
      </w:r>
    </w:p>
  </w:footnote>
  <w:footnote w:type="continuationSeparator" w:id="0">
    <w:p w14:paraId="186666B4" w14:textId="77777777" w:rsidR="00340F15" w:rsidRDefault="00340F15" w:rsidP="00304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F6400"/>
    <w:multiLevelType w:val="hybridMultilevel"/>
    <w:tmpl w:val="D360A1CA"/>
    <w:lvl w:ilvl="0" w:tplc="30E418C6">
      <w:start w:val="1"/>
      <w:numFmt w:val="russianLower"/>
      <w:lvlText w:val="%1)"/>
      <w:lvlJc w:val="left"/>
      <w:pPr>
        <w:tabs>
          <w:tab w:val="num" w:pos="55"/>
        </w:tabs>
        <w:ind w:left="775" w:hanging="360"/>
      </w:pPr>
      <w:rPr>
        <w:rFonts w:cs="Times New Roman" w:hint="default"/>
        <w:sz w:val="22"/>
        <w:szCs w:val="22"/>
      </w:rPr>
    </w:lvl>
    <w:lvl w:ilvl="1" w:tplc="EC980FD4" w:tentative="1">
      <w:start w:val="1"/>
      <w:numFmt w:val="lowerLetter"/>
      <w:lvlText w:val="%2."/>
      <w:lvlJc w:val="left"/>
      <w:pPr>
        <w:ind w:left="1440" w:hanging="360"/>
      </w:pPr>
      <w:rPr>
        <w:rFonts w:cs="Times New Roman"/>
      </w:rPr>
    </w:lvl>
    <w:lvl w:ilvl="2" w:tplc="75A82708" w:tentative="1">
      <w:start w:val="1"/>
      <w:numFmt w:val="lowerRoman"/>
      <w:lvlText w:val="%3."/>
      <w:lvlJc w:val="right"/>
      <w:pPr>
        <w:ind w:left="2160" w:hanging="180"/>
      </w:pPr>
      <w:rPr>
        <w:rFonts w:cs="Times New Roman"/>
      </w:rPr>
    </w:lvl>
    <w:lvl w:ilvl="3" w:tplc="E2707AA4" w:tentative="1">
      <w:start w:val="1"/>
      <w:numFmt w:val="decimal"/>
      <w:lvlText w:val="%4."/>
      <w:lvlJc w:val="left"/>
      <w:pPr>
        <w:ind w:left="2880" w:hanging="360"/>
      </w:pPr>
      <w:rPr>
        <w:rFonts w:cs="Times New Roman"/>
      </w:rPr>
    </w:lvl>
    <w:lvl w:ilvl="4" w:tplc="86AAA9CA" w:tentative="1">
      <w:start w:val="1"/>
      <w:numFmt w:val="lowerLetter"/>
      <w:lvlText w:val="%5."/>
      <w:lvlJc w:val="left"/>
      <w:pPr>
        <w:ind w:left="3600" w:hanging="360"/>
      </w:pPr>
      <w:rPr>
        <w:rFonts w:cs="Times New Roman"/>
      </w:rPr>
    </w:lvl>
    <w:lvl w:ilvl="5" w:tplc="36C8E774" w:tentative="1">
      <w:start w:val="1"/>
      <w:numFmt w:val="lowerRoman"/>
      <w:lvlText w:val="%6."/>
      <w:lvlJc w:val="right"/>
      <w:pPr>
        <w:ind w:left="4320" w:hanging="180"/>
      </w:pPr>
      <w:rPr>
        <w:rFonts w:cs="Times New Roman"/>
      </w:rPr>
    </w:lvl>
    <w:lvl w:ilvl="6" w:tplc="F0048AC8" w:tentative="1">
      <w:start w:val="1"/>
      <w:numFmt w:val="decimal"/>
      <w:lvlText w:val="%7."/>
      <w:lvlJc w:val="left"/>
      <w:pPr>
        <w:ind w:left="5040" w:hanging="360"/>
      </w:pPr>
      <w:rPr>
        <w:rFonts w:cs="Times New Roman"/>
      </w:rPr>
    </w:lvl>
    <w:lvl w:ilvl="7" w:tplc="9982941E" w:tentative="1">
      <w:start w:val="1"/>
      <w:numFmt w:val="lowerLetter"/>
      <w:lvlText w:val="%8."/>
      <w:lvlJc w:val="left"/>
      <w:pPr>
        <w:ind w:left="5760" w:hanging="360"/>
      </w:pPr>
      <w:rPr>
        <w:rFonts w:cs="Times New Roman"/>
      </w:rPr>
    </w:lvl>
    <w:lvl w:ilvl="8" w:tplc="BD9EFC68" w:tentative="1">
      <w:start w:val="1"/>
      <w:numFmt w:val="lowerRoman"/>
      <w:lvlText w:val="%9."/>
      <w:lvlJc w:val="right"/>
      <w:pPr>
        <w:ind w:left="6480" w:hanging="180"/>
      </w:pPr>
      <w:rPr>
        <w:rFonts w:cs="Times New Roman"/>
      </w:rPr>
    </w:lvl>
  </w:abstractNum>
  <w:abstractNum w:abstractNumId="1" w15:restartNumberingAfterBreak="0">
    <w:nsid w:val="767D6A69"/>
    <w:multiLevelType w:val="hybridMultilevel"/>
    <w:tmpl w:val="ED30DF0C"/>
    <w:lvl w:ilvl="0" w:tplc="B82270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C41"/>
    <w:rsid w:val="001E532E"/>
    <w:rsid w:val="002106DD"/>
    <w:rsid w:val="00213482"/>
    <w:rsid w:val="0023092E"/>
    <w:rsid w:val="002D6499"/>
    <w:rsid w:val="003046A5"/>
    <w:rsid w:val="00340F15"/>
    <w:rsid w:val="00364478"/>
    <w:rsid w:val="00467F70"/>
    <w:rsid w:val="006D7B11"/>
    <w:rsid w:val="00776C3D"/>
    <w:rsid w:val="007C0D2F"/>
    <w:rsid w:val="009800EC"/>
    <w:rsid w:val="00A43606"/>
    <w:rsid w:val="00BB19E7"/>
    <w:rsid w:val="00CB3C41"/>
    <w:rsid w:val="00D17D79"/>
    <w:rsid w:val="00DD57D1"/>
    <w:rsid w:val="00DE7228"/>
    <w:rsid w:val="00E81F6A"/>
    <w:rsid w:val="00F25D40"/>
    <w:rsid w:val="00F87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16413"/>
  <w15:docId w15:val="{F8CA1B08-698C-4F03-BF02-9939AF6C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w:basedOn w:val="a"/>
    <w:link w:val="1"/>
    <w:pPr>
      <w:spacing w:before="120" w:after="120" w:line="240" w:lineRule="auto"/>
      <w:jc w:val="both"/>
    </w:pPr>
    <w:rPr>
      <w:rFonts w:ascii="Times New Roman" w:eastAsia="Times New Roman" w:hAnsi="Times New Roman" w:cs="Times New Roman"/>
      <w:szCs w:val="20"/>
      <w:lang w:val="en-GB"/>
    </w:rPr>
  </w:style>
  <w:style w:type="character" w:customStyle="1" w:styleId="a4">
    <w:name w:val="Основной текст Знак"/>
    <w:basedOn w:val="a0"/>
    <w:uiPriority w:val="99"/>
    <w:semiHidden/>
  </w:style>
  <w:style w:type="character" w:customStyle="1" w:styleId="1">
    <w:name w:val="Основной текст Знак1"/>
    <w:aliases w:val="body text Знак"/>
    <w:link w:val="a3"/>
    <w:rPr>
      <w:rFonts w:ascii="Times New Roman" w:eastAsia="Times New Roman" w:hAnsi="Times New Roman" w:cs="Times New Roman"/>
      <w:szCs w:val="20"/>
      <w:lang w:val="en-GB"/>
    </w:rPr>
  </w:style>
  <w:style w:type="paragraph" w:styleId="a5">
    <w:name w:val="List Paragraph"/>
    <w:basedOn w:val="a"/>
    <w:link w:val="a6"/>
    <w:uiPriority w:val="34"/>
    <w:qFormat/>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qFormat/>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Pr>
      <w:sz w:val="16"/>
      <w:szCs w:val="16"/>
    </w:rPr>
  </w:style>
  <w:style w:type="paragraph" w:styleId="a8">
    <w:name w:val="annotation text"/>
    <w:basedOn w:val="a"/>
    <w:link w:val="a9"/>
    <w:uiPriority w:val="99"/>
    <w:semiHidden/>
    <w:unhideWhenUsed/>
    <w:pPr>
      <w:spacing w:line="240" w:lineRule="auto"/>
    </w:pPr>
    <w:rPr>
      <w:sz w:val="20"/>
      <w:szCs w:val="20"/>
    </w:rPr>
  </w:style>
  <w:style w:type="character" w:customStyle="1" w:styleId="a9">
    <w:name w:val="Текст примечания Знак"/>
    <w:basedOn w:val="a0"/>
    <w:link w:val="a8"/>
    <w:uiPriority w:val="99"/>
    <w:semiHidden/>
    <w:rPr>
      <w:sz w:val="20"/>
      <w:szCs w:val="20"/>
    </w:rPr>
  </w:style>
  <w:style w:type="paragraph" w:styleId="aa">
    <w:name w:val="annotation subject"/>
    <w:basedOn w:val="a8"/>
    <w:next w:val="a8"/>
    <w:link w:val="ab"/>
    <w:uiPriority w:val="99"/>
    <w:semiHidden/>
    <w:unhideWhenUsed/>
    <w:rPr>
      <w:b/>
      <w:bCs/>
    </w:rPr>
  </w:style>
  <w:style w:type="character" w:customStyle="1" w:styleId="ab">
    <w:name w:val="Тема примечания Знак"/>
    <w:basedOn w:val="a9"/>
    <w:link w:val="aa"/>
    <w:uiPriority w:val="99"/>
    <w:semiHidden/>
    <w:rPr>
      <w:b/>
      <w:bCs/>
      <w:sz w:val="20"/>
      <w:szCs w:val="20"/>
    </w:rPr>
  </w:style>
  <w:style w:type="paragraph" w:styleId="ac">
    <w:name w:val="Balloon Text"/>
    <w:basedOn w:val="a"/>
    <w:link w:val="ad"/>
    <w:uiPriority w:val="99"/>
    <w:semiHidden/>
    <w:unhideWhenUse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Pr>
      <w:rFonts w:ascii="Segoe UI" w:hAnsi="Segoe UI" w:cs="Segoe UI"/>
      <w:sz w:val="18"/>
      <w:szCs w:val="18"/>
    </w:rPr>
  </w:style>
  <w:style w:type="character" w:customStyle="1" w:styleId="2">
    <w:name w:val="Основной текст Знак2"/>
    <w:aliases w:val="body text Знак2"/>
    <w:rPr>
      <w:sz w:val="22"/>
      <w:lang w:val="en-GB" w:eastAsia="en-US" w:bidi="ar-SA"/>
    </w:rPr>
  </w:style>
  <w:style w:type="paragraph" w:styleId="ae">
    <w:name w:val="header"/>
    <w:basedOn w:val="a"/>
    <w:link w:val="af"/>
    <w:uiPriority w:val="99"/>
    <w:unhideWhenUsed/>
    <w:rsid w:val="003046A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046A5"/>
  </w:style>
  <w:style w:type="paragraph" w:styleId="af0">
    <w:name w:val="footer"/>
    <w:basedOn w:val="a"/>
    <w:link w:val="af1"/>
    <w:uiPriority w:val="99"/>
    <w:unhideWhenUsed/>
    <w:rsid w:val="003046A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04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148172">
      <w:bodyDiv w:val="1"/>
      <w:marLeft w:val="0"/>
      <w:marRight w:val="0"/>
      <w:marTop w:val="0"/>
      <w:marBottom w:val="0"/>
      <w:divBdr>
        <w:top w:val="none" w:sz="0" w:space="0" w:color="auto"/>
        <w:left w:val="none" w:sz="0" w:space="0" w:color="auto"/>
        <w:bottom w:val="none" w:sz="0" w:space="0" w:color="auto"/>
        <w:right w:val="none" w:sz="0" w:space="0" w:color="auto"/>
      </w:divBdr>
    </w:div>
    <w:div w:id="77228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2F4D2-C245-4E8A-8AF7-D289B0B80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1566</Words>
  <Characters>8932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Овчинникова Евгения Викторовна</dc:creator>
  <cp:lastModifiedBy>Пряхина Ирина Игоревна</cp:lastModifiedBy>
  <cp:revision>12</cp:revision>
  <cp:lastPrinted>2024-11-05T06:22:00Z</cp:lastPrinted>
  <dcterms:created xsi:type="dcterms:W3CDTF">2024-11-01T08:21:00Z</dcterms:created>
  <dcterms:modified xsi:type="dcterms:W3CDTF">2024-11-20T16:19:00Z</dcterms:modified>
</cp:coreProperties>
</file>