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F8B88" w14:textId="79B8B40B" w:rsidR="00BE6C51" w:rsidRDefault="00CD123E" w:rsidP="00CD123E">
      <w:pPr>
        <w:numPr>
          <w:ilvl w:val="1"/>
          <w:numId w:val="0"/>
        </w:num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>
        <w:rPr>
          <w:rFonts w:ascii="Garamond" w:hAnsi="Garamond"/>
          <w:b/>
          <w:sz w:val="28"/>
          <w:szCs w:val="28"/>
        </w:rPr>
        <w:t>.1. Изменения, связанные с порядком уче</w:t>
      </w:r>
      <w:r>
        <w:rPr>
          <w:rFonts w:ascii="Garamond" w:hAnsi="Garamond"/>
          <w:b/>
          <w:sz w:val="28"/>
          <w:szCs w:val="28"/>
        </w:rPr>
        <w:t>та обязательств вне уполномоченной кредитной организации и формированием реестра конкурсной задолженности в рамках проведения конкурса на присвоение статуса гарантирующего поставщика</w:t>
      </w:r>
    </w:p>
    <w:p w14:paraId="6FE8C7BB" w14:textId="77777777" w:rsidR="00BE6C51" w:rsidRDefault="00BE6C51" w:rsidP="00CD1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14:paraId="50433D5B" w14:textId="77777777" w:rsidR="00BE6C51" w:rsidRDefault="00CD123E" w:rsidP="00CD1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Приложение № </w:t>
      </w: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  <w:lang w:val="en-US"/>
        </w:rPr>
        <w:t>5.1</w:t>
      </w:r>
    </w:p>
    <w:p w14:paraId="3E959F9B" w14:textId="77777777" w:rsidR="00BE6C51" w:rsidRDefault="00BE6C51" w:rsidP="00CD123E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/>
          <w:b/>
          <w:sz w:val="28"/>
          <w:szCs w:val="28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4"/>
      </w:tblGrid>
      <w:tr w:rsidR="00BE6C51" w:rsidRPr="00CD123E" w14:paraId="01399E7B" w14:textId="77777777" w:rsidTr="00CD123E">
        <w:tc>
          <w:tcPr>
            <w:tcW w:w="14884" w:type="dxa"/>
          </w:tcPr>
          <w:p w14:paraId="0D18C518" w14:textId="77777777" w:rsidR="00BE6C51" w:rsidRPr="00CD123E" w:rsidRDefault="00CD123E" w:rsidP="00CD123E">
            <w:pPr>
              <w:keepNext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D123E">
              <w:rPr>
                <w:rFonts w:ascii="Garamond" w:hAnsi="Garamond"/>
                <w:b/>
                <w:bCs/>
                <w:sz w:val="24"/>
                <w:szCs w:val="24"/>
              </w:rPr>
              <w:t xml:space="preserve">Инициатор: </w:t>
            </w:r>
            <w:r w:rsidRPr="00CD123E">
              <w:rPr>
                <w:rFonts w:ascii="Garamond" w:hAnsi="Garamond"/>
                <w:sz w:val="24"/>
                <w:szCs w:val="24"/>
              </w:rPr>
              <w:t>АО</w:t>
            </w:r>
            <w:r w:rsidRPr="00CD123E">
              <w:rPr>
                <w:rFonts w:ascii="Garamond" w:hAnsi="Garamond"/>
                <w:sz w:val="24"/>
                <w:szCs w:val="24"/>
              </w:rPr>
              <w:t xml:space="preserve"> «ЦФР».</w:t>
            </w:r>
          </w:p>
          <w:p w14:paraId="0A4DDDA6" w14:textId="67AFBBA4" w:rsidR="00BE6C51" w:rsidRPr="00CD123E" w:rsidRDefault="00CD123E" w:rsidP="00CD12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CD123E"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 w:rsidRPr="00CD123E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Pr="00CD123E">
              <w:rPr>
                <w:rFonts w:ascii="Garamond" w:hAnsi="Garamond"/>
                <w:sz w:val="24"/>
                <w:szCs w:val="24"/>
              </w:rPr>
              <w:t>данные изменения направлены на описание действий, связанных с восстановлением и прекращением обязательств, исполнение которых осуществляется вне уполномоченной кредитной организации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Pr="00CD123E">
              <w:rPr>
                <w:rFonts w:ascii="Garamond" w:hAnsi="Garamond"/>
                <w:sz w:val="24"/>
                <w:szCs w:val="24"/>
              </w:rPr>
              <w:t xml:space="preserve"> в случае вступления в силу судебного акта, а также с </w:t>
            </w:r>
            <w:r w:rsidRPr="00CD123E">
              <w:rPr>
                <w:rFonts w:ascii="Garamond" w:hAnsi="Garamond"/>
                <w:sz w:val="24"/>
                <w:szCs w:val="24"/>
              </w:rPr>
              <w:t>формированием реестра конкурсной задолженности в рамках проведения конкурса на присвоение статуса гарантирующего поставщика</w:t>
            </w:r>
            <w:r w:rsidRPr="00CD123E">
              <w:rPr>
                <w:rFonts w:ascii="Garamond" w:hAnsi="Garamond"/>
                <w:bCs/>
                <w:sz w:val="24"/>
                <w:szCs w:val="24"/>
                <w:lang w:eastAsia="ru-RU"/>
              </w:rPr>
              <w:t>.</w:t>
            </w:r>
          </w:p>
          <w:p w14:paraId="683CD80F" w14:textId="2744DCE7" w:rsidR="00BE6C51" w:rsidRPr="00CD123E" w:rsidRDefault="00CD123E" w:rsidP="00CD12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CD123E"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 w:rsidR="00B3009F" w:rsidRPr="00CD123E">
              <w:rPr>
                <w:rFonts w:ascii="Garamond" w:hAnsi="Garamond"/>
                <w:sz w:val="24"/>
                <w:szCs w:val="24"/>
              </w:rPr>
              <w:t>21 июля 2023 года.</w:t>
            </w:r>
          </w:p>
        </w:tc>
      </w:tr>
    </w:tbl>
    <w:p w14:paraId="4B46D380" w14:textId="77777777" w:rsidR="00CD123E" w:rsidRDefault="00CD123E" w:rsidP="00CD123E">
      <w:pPr>
        <w:spacing w:after="0" w:line="240" w:lineRule="auto"/>
        <w:ind w:left="-284" w:right="-312"/>
        <w:rPr>
          <w:rFonts w:ascii="Garamond" w:hAnsi="Garamond"/>
          <w:b/>
          <w:sz w:val="26"/>
          <w:szCs w:val="26"/>
        </w:rPr>
      </w:pPr>
    </w:p>
    <w:p w14:paraId="1A817ECC" w14:textId="546895C7" w:rsidR="00BE6C51" w:rsidRDefault="00CD123E" w:rsidP="00CD123E">
      <w:pPr>
        <w:spacing w:after="0" w:line="240" w:lineRule="auto"/>
        <w:ind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 xml:space="preserve">Регламент финансовых расчетов на оптовом </w:t>
      </w:r>
      <w:r>
        <w:rPr>
          <w:rFonts w:ascii="Garamond" w:hAnsi="Garamond"/>
          <w:b/>
          <w:caps/>
          <w:sz w:val="26"/>
          <w:szCs w:val="26"/>
        </w:rPr>
        <w:t>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14:paraId="74EA0EBB" w14:textId="77777777" w:rsidR="00BE6C51" w:rsidRDefault="00BE6C51" w:rsidP="00CD123E">
      <w:pPr>
        <w:spacing w:after="0" w:line="240" w:lineRule="auto"/>
        <w:ind w:left="-284" w:right="-312"/>
        <w:rPr>
          <w:rFonts w:ascii="Garamond" w:hAnsi="Garamond"/>
          <w:b/>
          <w:sz w:val="26"/>
          <w:szCs w:val="26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7229"/>
      </w:tblGrid>
      <w:tr w:rsidR="00BE6C51" w14:paraId="3D6D22A5" w14:textId="77777777" w:rsidTr="00CD123E">
        <w:tc>
          <w:tcPr>
            <w:tcW w:w="993" w:type="dxa"/>
            <w:vAlign w:val="center"/>
          </w:tcPr>
          <w:p w14:paraId="5244113C" w14:textId="77777777" w:rsidR="00BE6C51" w:rsidRDefault="00CD123E" w:rsidP="00CD123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№ </w:t>
            </w:r>
          </w:p>
          <w:p w14:paraId="1855FF3E" w14:textId="77777777" w:rsidR="00BE6C51" w:rsidRDefault="00CD123E" w:rsidP="00CD123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62DBC33" w14:textId="77777777" w:rsidR="00BE6C51" w:rsidRDefault="00CD123E" w:rsidP="00CD123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1399BFBB" w14:textId="77777777" w:rsidR="00BE6C51" w:rsidRDefault="00CD123E" w:rsidP="00CD123E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C5D1C30" w14:textId="77777777" w:rsidR="00BE6C51" w:rsidRDefault="00CD123E" w:rsidP="00CD123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14:paraId="6B0F1A34" w14:textId="77777777" w:rsidR="00BE6C51" w:rsidRDefault="00CD123E" w:rsidP="00CD123E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BE6C51" w14:paraId="23C90EE2" w14:textId="77777777" w:rsidTr="00CD123E">
        <w:tc>
          <w:tcPr>
            <w:tcW w:w="993" w:type="dxa"/>
            <w:vAlign w:val="center"/>
          </w:tcPr>
          <w:p w14:paraId="1ED6E132" w14:textId="77777777" w:rsidR="00BE6C51" w:rsidRDefault="00CD123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19.3.3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489F90E" w14:textId="77777777" w:rsidR="00BE6C51" w:rsidRDefault="00CD123E" w:rsidP="00CD123E">
            <w:pPr>
              <w:spacing w:before="120" w:after="120"/>
              <w:ind w:firstLine="567"/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ЦФР информирует </w:t>
            </w:r>
            <w:r>
              <w:rPr>
                <w:rFonts w:ascii="Garamond" w:eastAsia="Calibri" w:hAnsi="Garamond" w:cs="Times New Roman"/>
                <w:highlight w:val="yellow"/>
              </w:rPr>
              <w:t xml:space="preserve">продавца и </w:t>
            </w:r>
            <w:r>
              <w:rPr>
                <w:rFonts w:ascii="Garamond" w:eastAsia="Calibri" w:hAnsi="Garamond" w:cs="Times New Roman"/>
                <w:highlight w:val="yellow"/>
              </w:rPr>
              <w:t>покупателя</w:t>
            </w:r>
            <w:r>
              <w:rPr>
                <w:rFonts w:ascii="Garamond" w:eastAsia="Calibri" w:hAnsi="Garamond" w:cs="Times New Roman"/>
              </w:rPr>
              <w:t xml:space="preserve"> об учете </w:t>
            </w:r>
            <w:r>
              <w:rPr>
                <w:rFonts w:ascii="Garamond" w:eastAsia="Calibri" w:hAnsi="Garamond" w:cs="Times New Roman"/>
                <w:highlight w:val="yellow"/>
              </w:rPr>
              <w:t>исполнения</w:t>
            </w:r>
            <w:r>
              <w:rPr>
                <w:rFonts w:ascii="Garamond" w:eastAsia="Calibri" w:hAnsi="Garamond" w:cs="Times New Roman"/>
              </w:rPr>
              <w:t xml:space="preserve"> обязательств путем публикации в разделе с ограниченным в соответствии с Правилами </w:t>
            </w:r>
            <w:proofErr w:type="spellStart"/>
            <w:r>
              <w:rPr>
                <w:rFonts w:ascii="Garamond" w:eastAsia="Calibri" w:hAnsi="Garamond" w:cs="Times New Roman"/>
              </w:rPr>
              <w:t>ЭДО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</w:rPr>
              <w:t>СЭД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</w:t>
            </w:r>
            <w:proofErr w:type="gramStart"/>
            <w:r>
              <w:rPr>
                <w:rFonts w:ascii="Garamond" w:eastAsia="Calibri" w:hAnsi="Garamond" w:cs="Times New Roman"/>
              </w:rPr>
              <w:t>КО доступом</w:t>
            </w:r>
            <w:proofErr w:type="gramEnd"/>
            <w:r>
              <w:rPr>
                <w:rFonts w:ascii="Garamond" w:eastAsia="Calibri" w:hAnsi="Garamond" w:cs="Times New Roman"/>
              </w:rPr>
              <w:t xml:space="preserve"> на сайте КО Отчета о состоянии обязательств (приложение 16 к настоящему Регламенту). </w:t>
            </w:r>
          </w:p>
          <w:p w14:paraId="2C246946" w14:textId="77777777" w:rsidR="00BE6C51" w:rsidRDefault="00BE6C51" w:rsidP="00CD123E">
            <w:pPr>
              <w:widowControl w:val="0"/>
              <w:spacing w:before="120" w:after="12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AEA90FD" w14:textId="11734B7F" w:rsidR="00BE6C51" w:rsidRPr="00CD123E" w:rsidRDefault="00CD123E" w:rsidP="00CD123E">
            <w:pPr>
              <w:spacing w:before="120" w:after="120"/>
              <w:ind w:firstLine="567"/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ЦФР информирует </w:t>
            </w:r>
            <w:r>
              <w:rPr>
                <w:rFonts w:ascii="Garamond" w:eastAsia="Calibri" w:hAnsi="Garamond" w:cs="Times New Roman"/>
                <w:highlight w:val="yellow"/>
              </w:rPr>
              <w:t>кредитора и должника</w:t>
            </w:r>
            <w:r>
              <w:rPr>
                <w:rFonts w:ascii="Garamond" w:eastAsia="Calibri" w:hAnsi="Garamond" w:cs="Times New Roman"/>
              </w:rPr>
              <w:t xml:space="preserve"> об учете </w:t>
            </w:r>
            <w:r>
              <w:rPr>
                <w:rFonts w:ascii="Garamond" w:eastAsia="Calibri" w:hAnsi="Garamond" w:cs="Times New Roman"/>
                <w:highlight w:val="yellow"/>
              </w:rPr>
              <w:t>прекращения</w:t>
            </w:r>
            <w:r>
              <w:rPr>
                <w:rFonts w:ascii="Garamond" w:eastAsia="Calibri" w:hAnsi="Garamond" w:cs="Times New Roman"/>
              </w:rPr>
              <w:t xml:space="preserve"> обязательств путем публикации в разделе с ограниченным в соответствии с Правилами </w:t>
            </w:r>
            <w:proofErr w:type="spellStart"/>
            <w:r>
              <w:rPr>
                <w:rFonts w:ascii="Garamond" w:eastAsia="Calibri" w:hAnsi="Garamond" w:cs="Times New Roman"/>
              </w:rPr>
              <w:t>ЭДО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</w:rPr>
              <w:t>СЭД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</w:t>
            </w:r>
            <w:proofErr w:type="gramStart"/>
            <w:r>
              <w:rPr>
                <w:rFonts w:ascii="Garamond" w:eastAsia="Calibri" w:hAnsi="Garamond" w:cs="Times New Roman"/>
              </w:rPr>
              <w:t>КО доступом</w:t>
            </w:r>
            <w:proofErr w:type="gramEnd"/>
            <w:r>
              <w:rPr>
                <w:rFonts w:ascii="Garamond" w:eastAsia="Calibri" w:hAnsi="Garamond" w:cs="Times New Roman"/>
              </w:rPr>
              <w:t xml:space="preserve"> на сайте КО отчета о состоянии обязательств (приложение 16 к настоящему Регламенту) </w:t>
            </w:r>
            <w:r>
              <w:rPr>
                <w:rFonts w:ascii="Garamond" w:eastAsia="Calibri" w:hAnsi="Garamond" w:cs="Times New Roman"/>
                <w:highlight w:val="yellow"/>
              </w:rPr>
              <w:t xml:space="preserve">и отчетов </w:t>
            </w:r>
            <w:r>
              <w:rPr>
                <w:rFonts w:ascii="Garamond" w:eastAsia="Calibri" w:hAnsi="Garamond"/>
                <w:highlight w:val="yellow"/>
              </w:rPr>
              <w:t>по договорам уступки прав (цессии), ук</w:t>
            </w:r>
            <w:r>
              <w:rPr>
                <w:rFonts w:ascii="Garamond" w:eastAsia="Calibri" w:hAnsi="Garamond"/>
                <w:highlight w:val="yellow"/>
              </w:rPr>
              <w:t>азанных в п. 14.5 настоящего Регламента</w:t>
            </w:r>
            <w:r>
              <w:rPr>
                <w:rFonts w:ascii="Garamond" w:eastAsia="Calibri" w:hAnsi="Garamond" w:cs="Times New Roman"/>
              </w:rPr>
              <w:t xml:space="preserve">. </w:t>
            </w:r>
          </w:p>
        </w:tc>
      </w:tr>
      <w:tr w:rsidR="00BE6C51" w14:paraId="59780E86" w14:textId="77777777" w:rsidTr="00CD123E">
        <w:tc>
          <w:tcPr>
            <w:tcW w:w="993" w:type="dxa"/>
            <w:vAlign w:val="center"/>
          </w:tcPr>
          <w:p w14:paraId="5EA8EBBB" w14:textId="34D86113" w:rsidR="00BE6C51" w:rsidRDefault="00CD123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19.3.5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0202123" w14:textId="77777777" w:rsidR="00CD123E" w:rsidRDefault="00CD123E" w:rsidP="00CD123E">
            <w:pPr>
              <w:widowControl w:val="0"/>
              <w:spacing w:before="120" w:after="120" w:line="240" w:lineRule="auto"/>
              <w:rPr>
                <w:rFonts w:ascii="Garamond" w:hAnsi="Garamond"/>
                <w:b/>
              </w:rPr>
            </w:pPr>
          </w:p>
          <w:p w14:paraId="323DCA07" w14:textId="4251330C" w:rsidR="00CD123E" w:rsidRDefault="00CD123E" w:rsidP="00CD123E">
            <w:pPr>
              <w:widowControl w:val="0"/>
              <w:spacing w:before="120" w:after="12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Добавить пункт </w:t>
            </w:r>
          </w:p>
          <w:p w14:paraId="1168412C" w14:textId="77777777" w:rsidR="00BE6C51" w:rsidRDefault="00BE6C51" w:rsidP="00CD123E">
            <w:pPr>
              <w:pStyle w:val="a3"/>
              <w:shd w:val="clear" w:color="auto" w:fill="FFFFFF"/>
              <w:ind w:firstLine="567"/>
              <w:rPr>
                <w:rFonts w:ascii="Garamond" w:hAnsi="Garamond" w:cs="Garamond"/>
                <w:b/>
                <w:bCs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798FF76" w14:textId="7CC97082" w:rsidR="00BE6C51" w:rsidRDefault="00CD123E" w:rsidP="00CD123E">
            <w:pPr>
              <w:pStyle w:val="a3"/>
              <w:shd w:val="clear" w:color="auto" w:fill="FFFFFF"/>
              <w:ind w:firstLine="567"/>
              <w:rPr>
                <w:rFonts w:ascii="Garamond" w:eastAsia="Calibri" w:hAnsi="Garamond" w:cstheme="minorBidi"/>
                <w:szCs w:val="22"/>
                <w:highlight w:val="yellow"/>
                <w:lang w:val="ru-RU"/>
              </w:rPr>
            </w:pPr>
            <w:r w:rsidRPr="00CD123E">
              <w:rPr>
                <w:rFonts w:ascii="Garamond" w:eastAsia="Calibri" w:hAnsi="Garamond" w:cstheme="minorBidi"/>
                <w:szCs w:val="22"/>
                <w:highlight w:val="yellow"/>
                <w:lang w:val="ru-RU"/>
              </w:rPr>
              <w:t>При получении от кредитора или должника</w:t>
            </w:r>
            <w:r w:rsidRPr="00CD123E">
              <w:rPr>
                <w:rFonts w:ascii="Garamond" w:eastAsia="Calibri" w:hAnsi="Garamond" w:cstheme="minorBidi"/>
                <w:szCs w:val="22"/>
                <w:highlight w:val="yellow"/>
                <w:lang w:val="ru-RU"/>
              </w:rPr>
              <w:t>, в отношении которого возбуждено дело о банкротстве и введена одна из процедур банкрот</w:t>
            </w:r>
            <w:r>
              <w:rPr>
                <w:rFonts w:ascii="Garamond" w:eastAsia="Calibri" w:hAnsi="Garamond" w:cstheme="minorBidi"/>
                <w:szCs w:val="22"/>
                <w:highlight w:val="yellow"/>
                <w:lang w:val="ru-RU"/>
              </w:rPr>
              <w:t>ства (далее – должник-банкрот),</w:t>
            </w:r>
            <w:bookmarkStart w:id="0" w:name="_GoBack"/>
            <w:bookmarkEnd w:id="0"/>
            <w:r w:rsidRPr="00CD123E">
              <w:rPr>
                <w:rFonts w:ascii="Garamond" w:eastAsia="Calibri" w:hAnsi="Garamond" w:cstheme="minorBidi"/>
                <w:szCs w:val="22"/>
                <w:highlight w:val="yellow"/>
                <w:lang w:val="ru-RU"/>
              </w:rPr>
              <w:t xml:space="preserve"> </w:t>
            </w:r>
            <w:r w:rsidRPr="00CD123E">
              <w:rPr>
                <w:rFonts w:ascii="Garamond" w:eastAsia="Calibri" w:hAnsi="Garamond" w:cstheme="minorBidi"/>
                <w:szCs w:val="22"/>
                <w:highlight w:val="yellow"/>
                <w:lang w:val="ru-RU"/>
              </w:rPr>
              <w:t xml:space="preserve">копии </w:t>
            </w:r>
            <w:r w:rsidRPr="00CD123E">
              <w:rPr>
                <w:rFonts w:ascii="Garamond" w:eastAsia="Calibri" w:hAnsi="Garamond" w:cstheme="minorBidi"/>
                <w:szCs w:val="22"/>
                <w:highlight w:val="yellow"/>
                <w:lang w:val="ru-RU"/>
              </w:rPr>
              <w:t xml:space="preserve">вступившего в законную силу </w:t>
            </w:r>
            <w:r w:rsidRPr="00CD123E">
              <w:rPr>
                <w:rFonts w:ascii="Garamond" w:eastAsia="Calibri" w:hAnsi="Garamond" w:cstheme="minorBidi"/>
                <w:szCs w:val="22"/>
                <w:highlight w:val="yellow"/>
                <w:lang w:val="ru-RU"/>
              </w:rPr>
              <w:t xml:space="preserve">судебного акта о признании недействительными сделок по перечислению денежных средств </w:t>
            </w:r>
            <w:r w:rsidRPr="00CD123E">
              <w:rPr>
                <w:rFonts w:ascii="Garamond" w:eastAsia="Calibri" w:hAnsi="Garamond" w:cstheme="minorBidi"/>
                <w:szCs w:val="22"/>
                <w:highlight w:val="yellow"/>
                <w:lang w:val="ru-RU"/>
              </w:rPr>
              <w:t>должником</w:t>
            </w:r>
            <w:r w:rsidRPr="00CD123E">
              <w:rPr>
                <w:rFonts w:ascii="Garamond" w:eastAsia="Calibri" w:hAnsi="Garamond" w:cstheme="minorBidi"/>
                <w:szCs w:val="22"/>
                <w:highlight w:val="yellow"/>
                <w:lang w:val="ru-RU"/>
              </w:rPr>
              <w:t xml:space="preserve">-банкротом и восстановлении права требования кредитора к </w:t>
            </w:r>
            <w:r w:rsidRPr="00CD123E">
              <w:rPr>
                <w:rFonts w:ascii="Garamond" w:eastAsia="Calibri" w:hAnsi="Garamond" w:cstheme="minorBidi"/>
                <w:szCs w:val="22"/>
                <w:highlight w:val="yellow"/>
                <w:lang w:val="ru-RU"/>
              </w:rPr>
              <w:t>должнику</w:t>
            </w:r>
            <w:r w:rsidRPr="00CD123E">
              <w:rPr>
                <w:rFonts w:ascii="Garamond" w:eastAsia="Calibri" w:hAnsi="Garamond" w:cstheme="minorBidi"/>
                <w:szCs w:val="22"/>
                <w:highlight w:val="yellow"/>
                <w:lang w:val="ru-RU"/>
              </w:rPr>
              <w:t>-банкроту</w:t>
            </w:r>
            <w:r w:rsidRPr="00CD123E">
              <w:rPr>
                <w:rFonts w:ascii="Garamond" w:eastAsia="Calibri" w:hAnsi="Garamond" w:cstheme="minorBidi"/>
                <w:szCs w:val="22"/>
                <w:highlight w:val="yellow"/>
                <w:lang w:val="ru-RU"/>
              </w:rPr>
              <w:t xml:space="preserve"> и документов, подтверждающих исполнение в соответствии с у</w:t>
            </w:r>
            <w:r w:rsidRPr="00CD123E">
              <w:rPr>
                <w:rFonts w:ascii="Garamond" w:eastAsia="Calibri" w:hAnsi="Garamond" w:cstheme="minorBidi"/>
                <w:szCs w:val="22"/>
                <w:highlight w:val="yellow"/>
                <w:lang w:val="ru-RU"/>
              </w:rPr>
              <w:t xml:space="preserve">казанным судебным актом, ЦФР восстанавливает </w:t>
            </w:r>
            <w:r>
              <w:rPr>
                <w:rFonts w:ascii="Garamond" w:eastAsia="Calibri" w:hAnsi="Garamond" w:cstheme="minorBidi"/>
                <w:szCs w:val="22"/>
                <w:highlight w:val="yellow"/>
                <w:lang w:val="ru-RU"/>
              </w:rPr>
              <w:t>учет прекращенных обязательств по оплате по соответствующему договору, заключенному на оптовом рынке, за расчетные периоды, указанные в судебном акте,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в течение 5 рабочих дней с даты поступления указанных докуме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нтов в ЦФР</w:t>
            </w:r>
            <w:r>
              <w:rPr>
                <w:rFonts w:ascii="Garamond" w:eastAsia="Calibri" w:hAnsi="Garamond" w:cstheme="minorBidi"/>
                <w:szCs w:val="22"/>
                <w:highlight w:val="yellow"/>
                <w:lang w:val="ru-RU"/>
              </w:rPr>
              <w:t>.</w:t>
            </w:r>
          </w:p>
          <w:p w14:paraId="738D40D5" w14:textId="77777777" w:rsidR="00BE6C51" w:rsidRDefault="00CD123E" w:rsidP="00CD123E">
            <w:pPr>
              <w:pStyle w:val="a3"/>
              <w:shd w:val="clear" w:color="auto" w:fill="FFFFFF"/>
              <w:ind w:firstLine="567"/>
              <w:rPr>
                <w:rFonts w:ascii="Garamond" w:eastAsia="Calibri" w:hAnsi="Garamond" w:cstheme="minorBidi"/>
                <w:szCs w:val="22"/>
                <w:highlight w:val="yellow"/>
                <w:lang w:val="ru-RU"/>
              </w:rPr>
            </w:pPr>
            <w:r>
              <w:rPr>
                <w:rFonts w:ascii="Garamond" w:eastAsia="Calibri" w:hAnsi="Garamond"/>
                <w:highlight w:val="yellow"/>
                <w:lang w:val="ru-RU"/>
              </w:rPr>
              <w:lastRenderedPageBreak/>
              <w:t xml:space="preserve">ЦФР информирует кредитора и должника-банкрота о восстановленных обязательствах путем публикации отчета о состоянии обязательств (приложение 16 к настоящему Регламенту) и </w:t>
            </w:r>
            <w:r>
              <w:rPr>
                <w:rFonts w:ascii="Garamond" w:eastAsia="Calibri" w:hAnsi="Garamond"/>
                <w:szCs w:val="22"/>
                <w:highlight w:val="yellow"/>
                <w:lang w:val="ru-RU"/>
              </w:rPr>
              <w:t>отчета о состоянии обязательств по договорам уступки прав требования (цесс</w:t>
            </w:r>
            <w:r>
              <w:rPr>
                <w:rFonts w:ascii="Garamond" w:eastAsia="Calibri" w:hAnsi="Garamond"/>
                <w:szCs w:val="22"/>
                <w:highlight w:val="yellow"/>
                <w:lang w:val="ru-RU"/>
              </w:rPr>
              <w:t>ии) (приложение 13.1 к настоящему Регламенту)</w:t>
            </w:r>
            <w:r>
              <w:rPr>
                <w:rFonts w:ascii="Garamond" w:eastAsia="Calibri" w:hAnsi="Garamond"/>
                <w:highlight w:val="yellow"/>
                <w:lang w:val="ru-RU"/>
              </w:rPr>
              <w:t xml:space="preserve"> в разделе с ограниченным в соответствии с Правилами </w:t>
            </w:r>
            <w:proofErr w:type="spellStart"/>
            <w:r>
              <w:rPr>
                <w:rFonts w:ascii="Garamond" w:eastAsia="Calibri" w:hAnsi="Garamond"/>
                <w:highlight w:val="yellow"/>
                <w:lang w:val="ru-RU"/>
              </w:rPr>
              <w:t>ЭДО</w:t>
            </w:r>
            <w:proofErr w:type="spellEnd"/>
            <w:r>
              <w:rPr>
                <w:rFonts w:ascii="Garamond" w:eastAsia="Calibri" w:hAnsi="Garamond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highlight w:val="yellow"/>
                <w:lang w:val="ru-RU"/>
              </w:rPr>
              <w:t>СЭД</w:t>
            </w:r>
            <w:proofErr w:type="spellEnd"/>
            <w:r>
              <w:rPr>
                <w:rFonts w:ascii="Garamond" w:eastAsia="Calibri" w:hAnsi="Garamond"/>
                <w:highlight w:val="yellow"/>
                <w:lang w:val="ru-RU"/>
              </w:rPr>
              <w:t xml:space="preserve"> </w:t>
            </w:r>
            <w:proofErr w:type="gramStart"/>
            <w:r>
              <w:rPr>
                <w:rFonts w:ascii="Garamond" w:eastAsia="Calibri" w:hAnsi="Garamond"/>
                <w:highlight w:val="yellow"/>
                <w:lang w:val="ru-RU"/>
              </w:rPr>
              <w:t>КО доступом</w:t>
            </w:r>
            <w:proofErr w:type="gramEnd"/>
            <w:r>
              <w:rPr>
                <w:rFonts w:ascii="Garamond" w:eastAsia="Calibri" w:hAnsi="Garamond"/>
                <w:highlight w:val="yellow"/>
                <w:lang w:val="ru-RU"/>
              </w:rPr>
              <w:t xml:space="preserve"> на сайте КО. </w:t>
            </w:r>
          </w:p>
          <w:p w14:paraId="0CFD2BF6" w14:textId="77777777" w:rsidR="00BE6C51" w:rsidRDefault="00CD123E" w:rsidP="00CD123E">
            <w:pPr>
              <w:pStyle w:val="a3"/>
              <w:shd w:val="clear" w:color="auto" w:fill="FFFFFF"/>
              <w:ind w:firstLine="602"/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В случае если обязательства восстановлены </w:t>
            </w:r>
            <w:r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после даты, на которую сформирован направленный ЦФР в Совет рынка реестр конкурсной задолженности в соответствии с п. 23.1.2 настоящего Регламента, то ЦФР 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прекращает их учет.</w:t>
            </w:r>
          </w:p>
          <w:p w14:paraId="0653D752" w14:textId="73AB1B2F" w:rsidR="00BE6C51" w:rsidRPr="00CD123E" w:rsidRDefault="00CD123E" w:rsidP="00CD123E">
            <w:pPr>
              <w:pStyle w:val="a3"/>
              <w:shd w:val="clear" w:color="auto" w:fill="FFFFFF"/>
              <w:ind w:firstLine="602"/>
              <w:rPr>
                <w:rFonts w:ascii="Garamond" w:eastAsia="Calibri" w:hAnsi="Garamond"/>
                <w:szCs w:val="22"/>
                <w:lang w:val="ru-RU"/>
              </w:rPr>
            </w:pPr>
            <w:r>
              <w:rPr>
                <w:rFonts w:ascii="Garamond" w:eastAsia="Calibri" w:hAnsi="Garamond"/>
                <w:szCs w:val="22"/>
                <w:highlight w:val="yellow"/>
                <w:lang w:val="ru-RU"/>
              </w:rPr>
              <w:t>ЦФР информирует о дате, на которую сформирован направленный ЦФР в Совет рынка рее</w:t>
            </w:r>
            <w:r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стр конкурсной задолженности, </w:t>
            </w:r>
            <w:r>
              <w:rPr>
                <w:rFonts w:ascii="Garamond" w:eastAsia="Calibri" w:hAnsi="Garamond"/>
                <w:highlight w:val="yellow"/>
                <w:lang w:val="ru-RU"/>
              </w:rPr>
              <w:t xml:space="preserve">путем публикации на </w:t>
            </w:r>
            <w:r>
              <w:rPr>
                <w:rFonts w:ascii="Garamond" w:eastAsia="Calibri" w:hAnsi="Garamond"/>
                <w:szCs w:val="22"/>
                <w:highlight w:val="yellow"/>
                <w:lang w:val="ru-RU"/>
              </w:rPr>
              <w:t>сайте ЦФР.</w:t>
            </w:r>
          </w:p>
        </w:tc>
      </w:tr>
      <w:tr w:rsidR="00BE6C51" w14:paraId="61DB4119" w14:textId="77777777" w:rsidTr="00CD123E">
        <w:tc>
          <w:tcPr>
            <w:tcW w:w="993" w:type="dxa"/>
            <w:vAlign w:val="center"/>
          </w:tcPr>
          <w:p w14:paraId="6DD20B2F" w14:textId="77777777" w:rsidR="00BE6C51" w:rsidRDefault="00CD123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23.1.2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E04087B" w14:textId="77777777" w:rsidR="00BE6C51" w:rsidRDefault="00CD123E" w:rsidP="00CD123E">
            <w:pPr>
              <w:pStyle w:val="a3"/>
              <w:ind w:firstLine="567"/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ЦФР направляет в Совет рынка не позднее 5 рабочих дней, считая со дня получения от Совета рынка запроса в соответствии с пунктом 23.1.1 настоящего Регламента, ответ, содержащий сведения 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о наличии (отсутствии) у организации, утратившей статус гарантирующего поставщика, задолженности по оплате услуг организаций коммерческой и технологической инфраструктуры, расчеты по которым осуществляются в соответствии с </w:t>
            </w:r>
            <w:r>
              <w:rPr>
                <w:rFonts w:ascii="Garamond" w:hAnsi="Garamond"/>
                <w:i/>
                <w:color w:val="000000"/>
                <w:spacing w:val="1"/>
                <w:szCs w:val="22"/>
                <w:lang w:val="ru-RU"/>
              </w:rPr>
              <w:t>Договором о присоединении к торго</w:t>
            </w:r>
            <w:r>
              <w:rPr>
                <w:rFonts w:ascii="Garamond" w:hAnsi="Garamond"/>
                <w:i/>
                <w:color w:val="000000"/>
                <w:spacing w:val="1"/>
                <w:szCs w:val="22"/>
                <w:lang w:val="ru-RU"/>
              </w:rPr>
              <w:t>вой системе оптового рынка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, электрической энергии, мощности, приобретенных на оптовом рынке по договорам, по которым расчет денежных обязательств сторон производится организациями коммерческой инфраструктуры оптового рынка, а также сводный </w:t>
            </w:r>
            <w:r>
              <w:rPr>
                <w:rFonts w:ascii="Garamond" w:hAnsi="Garamond"/>
                <w:spacing w:val="1"/>
                <w:szCs w:val="22"/>
                <w:lang w:val="ru-RU"/>
              </w:rPr>
              <w:t xml:space="preserve">реестр </w:t>
            </w:r>
            <w:r>
              <w:rPr>
                <w:rFonts w:ascii="Garamond" w:hAnsi="Garamond"/>
                <w:spacing w:val="1"/>
                <w:szCs w:val="22"/>
                <w:lang w:val="ru-RU"/>
              </w:rPr>
              <w:t>конкурсной задолженности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 с разбивкой по кредиторам суммы такой задолженности, в том числе перед АТС, ЦФР и перед сетевыми организациями (на основании информации, поступившей от Совета рынка) по договорам оказания услуг по передаче электрической энергии (да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лее – реестр конкурсной задолженности) с учетом особенностей пункта 23.1.2.1 настоящего Регламента.</w:t>
            </w:r>
          </w:p>
          <w:p w14:paraId="6BC61AA4" w14:textId="77777777" w:rsidR="00BE6C51" w:rsidRDefault="00CD123E" w:rsidP="00CD123E">
            <w:pPr>
              <w:pStyle w:val="a3"/>
              <w:ind w:firstLine="567"/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Сведения о задолженности перед кредиторами – участниками оптового рынка формируются с учетом следующих особенностей:</w:t>
            </w:r>
          </w:p>
          <w:p w14:paraId="29F8FC1E" w14:textId="77777777" w:rsidR="00BE6C51" w:rsidRDefault="00CD123E" w:rsidP="00CD123E">
            <w:pPr>
              <w:pStyle w:val="a3"/>
              <w:numPr>
                <w:ilvl w:val="0"/>
                <w:numId w:val="8"/>
              </w:numPr>
              <w:tabs>
                <w:tab w:val="left" w:pos="1031"/>
              </w:tabs>
              <w:ind w:left="0" w:firstLine="567"/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ответ должен содержать сведения о налич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ии (отсутствии) по состоянию на дату формирования ответа задолженности по соответствующим договорам за расчетные периоды, прошедшие до 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lastRenderedPageBreak/>
              <w:t>даты лишения организации статуса гарантирующего поставщика, по которым сформированы фактические обязательства, в том числ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е по обязательствам, срок исполнения которых не наступил;</w:t>
            </w:r>
          </w:p>
          <w:p w14:paraId="4FECCC29" w14:textId="77777777" w:rsidR="00BE6C51" w:rsidRDefault="00CD123E" w:rsidP="00CD123E">
            <w:pPr>
              <w:pStyle w:val="a3"/>
              <w:numPr>
                <w:ilvl w:val="0"/>
                <w:numId w:val="8"/>
              </w:numPr>
              <w:tabs>
                <w:tab w:val="left" w:pos="1031"/>
              </w:tabs>
              <w:ind w:left="0" w:firstLine="567"/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сведения о задолженности по договорам, по которым исполнение обязательств по оплате осуществлялось вне уполномоченной кредитной организации, указываются на основании информации, поступившей от участ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ников оптового рынка в ЦФР в соответствии с положениями настоящего Регламента на дату формирования ответа. Ответственность за достоверность указанных сведений несут поставщики и покупатели оптового рынка, в том числе предоставившие сведения несвоевременно 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и (или) предоставившие недостоверные сведения, либо не предоставившие сведения для учета проведения платежей по соответствующим договорам;</w:t>
            </w:r>
          </w:p>
          <w:p w14:paraId="0B7F0222" w14:textId="4E3B1885" w:rsidR="00BE6C51" w:rsidRPr="00CD123E" w:rsidRDefault="00CD123E" w:rsidP="00CD123E">
            <w:pPr>
              <w:pStyle w:val="a3"/>
              <w:tabs>
                <w:tab w:val="left" w:pos="1031"/>
              </w:tabs>
              <w:ind w:left="567"/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…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28198C9" w14:textId="77777777" w:rsidR="00BE6C51" w:rsidRDefault="00CD123E" w:rsidP="00CD123E">
            <w:pPr>
              <w:pStyle w:val="a3"/>
              <w:ind w:firstLine="567"/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lastRenderedPageBreak/>
              <w:t>Ц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ФР направляет в Совет рынка не позднее 5 рабочих дней, считая со дня получения от Совета рынка запроса в соответствии с пунктом 23.1.1 настоящего Регламента, ответ, содержащий сведения о наличии (отсутствии) у организации, утратившей статус гарантирующего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 поставщика, задолженности по оплате услуг организаций коммерческой и технологической инфраструктуры, расчеты по которым осуществляются в соответствии с </w:t>
            </w:r>
            <w:r>
              <w:rPr>
                <w:rFonts w:ascii="Garamond" w:hAnsi="Garamond"/>
                <w:i/>
                <w:color w:val="000000"/>
                <w:spacing w:val="1"/>
                <w:szCs w:val="22"/>
                <w:lang w:val="ru-RU"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, электрической энергии, мощности, приобрете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нных на оптовом рынке по договорам, по которым расчет денежных обязательств сторон производится организациями коммерческой инфраструктуры оптового рынка, а также сводный </w:t>
            </w:r>
            <w:r>
              <w:rPr>
                <w:rFonts w:ascii="Garamond" w:hAnsi="Garamond"/>
                <w:spacing w:val="1"/>
                <w:szCs w:val="22"/>
                <w:lang w:val="ru-RU"/>
              </w:rPr>
              <w:t>реестр конкурсной задолженности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 с разбивкой по кредиторам суммы такой задолженности, в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 том числе перед АТС, ЦФР и перед сетевыми организациями (на основании информации, поступившей от Совета рынка) по договорам оказания услуг по передаче электрической энергии (далее – реестр конкурсной задолженности) с учетом особенностей пункта 23.1.2.1 на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стоящего Регламента.</w:t>
            </w:r>
          </w:p>
          <w:p w14:paraId="60CF26F7" w14:textId="77777777" w:rsidR="00BE6C51" w:rsidRDefault="00CD123E" w:rsidP="00CD123E">
            <w:pPr>
              <w:pStyle w:val="a3"/>
              <w:ind w:firstLine="567"/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Сведения о задолженности перед кредиторами – участниками оптового рынка формируются с учетом следующих особенностей:</w:t>
            </w:r>
          </w:p>
          <w:p w14:paraId="0616CAAB" w14:textId="77777777" w:rsidR="00BE6C51" w:rsidRDefault="00CD123E" w:rsidP="00CD123E">
            <w:pPr>
              <w:pStyle w:val="a3"/>
              <w:numPr>
                <w:ilvl w:val="0"/>
                <w:numId w:val="8"/>
              </w:numPr>
              <w:tabs>
                <w:tab w:val="left" w:pos="1031"/>
              </w:tabs>
              <w:ind w:left="0" w:firstLine="567"/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ответ должен содержать сведения о наличии (отсутствии) по состоянию на дату формирования ответа задолженности по соотв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етствующим договорам за расчетные периоды, прошедшие до даты лишения организации статуса гарантирующего поставщика, по которым 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lastRenderedPageBreak/>
              <w:t>сформированы фактические обязательства, в том числе по обязательствам, срок исполнения которых не наступил;</w:t>
            </w:r>
          </w:p>
          <w:p w14:paraId="3369BC0B" w14:textId="77777777" w:rsidR="00BE6C51" w:rsidRDefault="00CD123E" w:rsidP="00CD123E">
            <w:pPr>
              <w:pStyle w:val="a3"/>
              <w:numPr>
                <w:ilvl w:val="0"/>
                <w:numId w:val="8"/>
              </w:numPr>
              <w:tabs>
                <w:tab w:val="left" w:pos="1031"/>
              </w:tabs>
              <w:ind w:left="0" w:firstLine="567"/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сведения о задолженно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сти по договорам, по которым исполнение обязательств по оплате осуществлялось вне уполномоченной кредитной организации, указываются на основании информации, поступившей от участников оптового рынка </w:t>
            </w:r>
            <w:r>
              <w:rPr>
                <w:rFonts w:ascii="Garamond" w:hAnsi="Garamond"/>
                <w:color w:val="000000"/>
                <w:spacing w:val="1"/>
                <w:szCs w:val="22"/>
                <w:highlight w:val="yellow"/>
                <w:lang w:val="ru-RU"/>
              </w:rPr>
              <w:t>и учтенной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 ЦФР в соответствии с положениями настоящего Рег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ламента на дату формирования ответа. Ответственность за достоверность указанных сведений несут поставщики и покупатели оптового рынка, в том числе предоставившие сведения несвоевременно и (или) предоставившие недостоверные сведения, либо не предоставившие </w:t>
            </w: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сведения для учета проведения платежей по соответствующим договорам;</w:t>
            </w:r>
          </w:p>
          <w:p w14:paraId="7A5FB521" w14:textId="77777777" w:rsidR="00BE6C51" w:rsidRDefault="00CD123E" w:rsidP="00CD123E">
            <w:pPr>
              <w:pStyle w:val="a3"/>
              <w:tabs>
                <w:tab w:val="left" w:pos="1031"/>
              </w:tabs>
              <w:ind w:left="567"/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…</w:t>
            </w:r>
          </w:p>
          <w:p w14:paraId="44B4A99A" w14:textId="77777777" w:rsidR="00BE6C51" w:rsidRDefault="00BE6C51" w:rsidP="00CD123E">
            <w:pPr>
              <w:spacing w:before="120" w:after="120"/>
              <w:ind w:firstLine="567"/>
              <w:jc w:val="both"/>
              <w:rPr>
                <w:rFonts w:ascii="Garamond" w:eastAsia="Calibri" w:hAnsi="Garamond" w:cs="Times New Roman"/>
                <w:highlight w:val="green"/>
              </w:rPr>
            </w:pPr>
          </w:p>
        </w:tc>
      </w:tr>
    </w:tbl>
    <w:p w14:paraId="335D5937" w14:textId="77777777" w:rsidR="00BE6C51" w:rsidRDefault="00BE6C51"/>
    <w:p w14:paraId="1F34537F" w14:textId="77777777" w:rsidR="00BE6C51" w:rsidRDefault="00BE6C51">
      <w:pPr>
        <w:tabs>
          <w:tab w:val="left" w:pos="10348"/>
        </w:tabs>
        <w:ind w:left="1701"/>
        <w:rPr>
          <w:rFonts w:ascii="Garamond" w:hAnsi="Garamond" w:cs="Times New Roman"/>
          <w:b/>
          <w:sz w:val="24"/>
          <w:szCs w:val="24"/>
        </w:rPr>
      </w:pPr>
    </w:p>
    <w:sectPr w:rsidR="00BE6C51" w:rsidSect="00CD123E">
      <w:pgSz w:w="16838" w:h="11906" w:orient="landscape"/>
      <w:pgMar w:top="1134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6A6"/>
    <w:multiLevelType w:val="hybridMultilevel"/>
    <w:tmpl w:val="97228AA2"/>
    <w:lvl w:ilvl="0" w:tplc="DDA8201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0160CB"/>
    <w:multiLevelType w:val="hybridMultilevel"/>
    <w:tmpl w:val="1090B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3A4948"/>
    <w:multiLevelType w:val="hybridMultilevel"/>
    <w:tmpl w:val="2CBC9CB4"/>
    <w:lvl w:ilvl="0" w:tplc="4BF09996">
      <w:start w:val="1"/>
      <w:numFmt w:val="bullet"/>
      <w:lvlText w:val="−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10332D6D"/>
    <w:multiLevelType w:val="hybridMultilevel"/>
    <w:tmpl w:val="90EC3020"/>
    <w:lvl w:ilvl="0" w:tplc="FFFFFFFF">
      <w:start w:val="1"/>
      <w:numFmt w:val="bullet"/>
      <w:lvlText w:val="–"/>
      <w:lvlJc w:val="left"/>
      <w:pPr>
        <w:ind w:left="13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4" w15:restartNumberingAfterBreak="0">
    <w:nsid w:val="1B7469C3"/>
    <w:multiLevelType w:val="hybridMultilevel"/>
    <w:tmpl w:val="3B581BEA"/>
    <w:lvl w:ilvl="0" w:tplc="46D010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56EA5"/>
    <w:multiLevelType w:val="hybridMultilevel"/>
    <w:tmpl w:val="157823B2"/>
    <w:styleLink w:val="2"/>
    <w:lvl w:ilvl="0" w:tplc="DCD2E5F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E01EA">
      <w:start w:val="1"/>
      <w:numFmt w:val="lowerLetter"/>
      <w:lvlText w:val="%2."/>
      <w:lvlJc w:val="left"/>
      <w:pPr>
        <w:ind w:left="7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E4D238">
      <w:start w:val="1"/>
      <w:numFmt w:val="lowerRoman"/>
      <w:lvlText w:val="%3."/>
      <w:lvlJc w:val="left"/>
      <w:pPr>
        <w:ind w:left="144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65E62">
      <w:start w:val="1"/>
      <w:numFmt w:val="decimal"/>
      <w:lvlText w:val="%4."/>
      <w:lvlJc w:val="left"/>
      <w:pPr>
        <w:ind w:left="21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AFD78">
      <w:start w:val="1"/>
      <w:numFmt w:val="lowerLetter"/>
      <w:lvlText w:val="%5."/>
      <w:lvlJc w:val="left"/>
      <w:pPr>
        <w:ind w:left="28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2D080">
      <w:start w:val="1"/>
      <w:numFmt w:val="lowerRoman"/>
      <w:lvlText w:val="%6."/>
      <w:lvlJc w:val="left"/>
      <w:pPr>
        <w:ind w:left="360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1EC450">
      <w:start w:val="1"/>
      <w:numFmt w:val="decimal"/>
      <w:lvlText w:val="%7."/>
      <w:lvlJc w:val="left"/>
      <w:pPr>
        <w:ind w:left="43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862BE">
      <w:start w:val="1"/>
      <w:numFmt w:val="lowerLetter"/>
      <w:lvlText w:val="%8."/>
      <w:lvlJc w:val="left"/>
      <w:pPr>
        <w:ind w:left="50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1A47B8">
      <w:start w:val="1"/>
      <w:numFmt w:val="lowerRoman"/>
      <w:lvlText w:val="%9."/>
      <w:lvlJc w:val="left"/>
      <w:pPr>
        <w:ind w:left="57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82426FB"/>
    <w:multiLevelType w:val="hybridMultilevel"/>
    <w:tmpl w:val="32A43DF2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8681A"/>
    <w:multiLevelType w:val="hybridMultilevel"/>
    <w:tmpl w:val="764A5B24"/>
    <w:lvl w:ilvl="0" w:tplc="4BF09996">
      <w:start w:val="1"/>
      <w:numFmt w:val="bullet"/>
      <w:lvlText w:val="−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5F729D"/>
    <w:multiLevelType w:val="hybridMultilevel"/>
    <w:tmpl w:val="830E4B38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B7926"/>
    <w:multiLevelType w:val="multilevel"/>
    <w:tmpl w:val="056C60F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0" w15:restartNumberingAfterBreak="0">
    <w:nsid w:val="79090E46"/>
    <w:multiLevelType w:val="multilevel"/>
    <w:tmpl w:val="8CCE4B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824C84"/>
    <w:multiLevelType w:val="hybridMultilevel"/>
    <w:tmpl w:val="48AA19DE"/>
    <w:lvl w:ilvl="0" w:tplc="EFD2CA96">
      <w:start w:val="1"/>
      <w:numFmt w:val="decimal"/>
      <w:lvlText w:val="%1."/>
      <w:lvlJc w:val="left"/>
      <w:pPr>
        <w:ind w:left="720" w:hanging="360"/>
      </w:pPr>
      <w:rPr>
        <w:color w:val="auto"/>
        <w:sz w:val="12"/>
      </w:rPr>
    </w:lvl>
    <w:lvl w:ilvl="1" w:tplc="703639BC">
      <w:start w:val="1"/>
      <w:numFmt w:val="lowerLetter"/>
      <w:lvlText w:val="%2."/>
      <w:lvlJc w:val="left"/>
      <w:pPr>
        <w:ind w:left="1440" w:hanging="360"/>
      </w:pPr>
    </w:lvl>
    <w:lvl w:ilvl="2" w:tplc="4A18FDA2">
      <w:start w:val="1"/>
      <w:numFmt w:val="lowerRoman"/>
      <w:lvlText w:val="%3."/>
      <w:lvlJc w:val="right"/>
      <w:pPr>
        <w:ind w:left="2160" w:hanging="180"/>
      </w:pPr>
    </w:lvl>
    <w:lvl w:ilvl="3" w:tplc="E4A05CA0">
      <w:start w:val="1"/>
      <w:numFmt w:val="decimal"/>
      <w:lvlText w:val="%4."/>
      <w:lvlJc w:val="left"/>
      <w:pPr>
        <w:ind w:left="2880" w:hanging="360"/>
      </w:pPr>
    </w:lvl>
    <w:lvl w:ilvl="4" w:tplc="DC649402">
      <w:start w:val="1"/>
      <w:numFmt w:val="lowerLetter"/>
      <w:lvlText w:val="%5."/>
      <w:lvlJc w:val="left"/>
      <w:pPr>
        <w:ind w:left="3600" w:hanging="360"/>
      </w:pPr>
    </w:lvl>
    <w:lvl w:ilvl="5" w:tplc="8970114E">
      <w:start w:val="1"/>
      <w:numFmt w:val="lowerRoman"/>
      <w:lvlText w:val="%6."/>
      <w:lvlJc w:val="right"/>
      <w:pPr>
        <w:ind w:left="4320" w:hanging="180"/>
      </w:pPr>
    </w:lvl>
    <w:lvl w:ilvl="6" w:tplc="62AE39FA">
      <w:start w:val="1"/>
      <w:numFmt w:val="decimal"/>
      <w:lvlText w:val="%7."/>
      <w:lvlJc w:val="left"/>
      <w:pPr>
        <w:ind w:left="5040" w:hanging="360"/>
      </w:pPr>
    </w:lvl>
    <w:lvl w:ilvl="7" w:tplc="933ABA8A">
      <w:start w:val="1"/>
      <w:numFmt w:val="lowerLetter"/>
      <w:lvlText w:val="%8."/>
      <w:lvlJc w:val="left"/>
      <w:pPr>
        <w:ind w:left="5760" w:hanging="360"/>
      </w:pPr>
    </w:lvl>
    <w:lvl w:ilvl="8" w:tplc="BCB4BE5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11D5A"/>
    <w:multiLevelType w:val="multilevel"/>
    <w:tmpl w:val="9F52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51"/>
    <w:rsid w:val="00B3009F"/>
    <w:rsid w:val="00BE6C51"/>
    <w:rsid w:val="00C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872B"/>
  <w15:chartTrackingRefBased/>
  <w15:docId w15:val="{3EFFCF55-1A77-4D77-8CC6-675943BA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pPr>
      <w:tabs>
        <w:tab w:val="num" w:pos="0"/>
      </w:tabs>
      <w:spacing w:before="120" w:after="120" w:line="240" w:lineRule="auto"/>
      <w:jc w:val="both"/>
      <w:outlineLvl w:val="2"/>
    </w:pPr>
    <w:rPr>
      <w:rFonts w:ascii="Garamond" w:eastAsia="Times New Roman" w:hAnsi="Garamond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4">
    <w:name w:val="Основной текст Знак"/>
    <w:basedOn w:val="a0"/>
    <w:semiHidden/>
  </w:style>
  <w:style w:type="character" w:customStyle="1" w:styleId="11">
    <w:name w:val="Основной текст Знак1"/>
    <w:aliases w:val="body text Знак"/>
    <w:link w:val="a3"/>
    <w:rPr>
      <w:rFonts w:ascii="Times New Roman" w:eastAsia="Times New Roman" w:hAnsi="Times New Roman" w:cs="Times New Roman"/>
      <w:szCs w:val="20"/>
      <w:lang w:val="en-GB"/>
    </w:rPr>
  </w:style>
  <w:style w:type="character" w:styleId="a5">
    <w:name w:val="annotation reference"/>
    <w:basedOn w:val="a0"/>
    <w:uiPriority w:val="99"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Garamond"/>
      <w:b/>
      <w:caps/>
      <w:color w:val="000000"/>
      <w:kern w:val="28"/>
    </w:rPr>
  </w:style>
  <w:style w:type="paragraph" w:styleId="aa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Pr>
      <w:b/>
      <w:bCs/>
      <w:sz w:val="20"/>
      <w:szCs w:val="20"/>
    </w:rPr>
  </w:style>
  <w:style w:type="paragraph" w:styleId="ac">
    <w:name w:val="List Paragraph"/>
    <w:basedOn w:val="a"/>
    <w:link w:val="ad"/>
    <w:uiPriority w:val="34"/>
    <w:qFormat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d">
    <w:name w:val="Абзац списка Знак"/>
    <w:link w:val="ac"/>
    <w:uiPriority w:val="34"/>
    <w:rPr>
      <w:rFonts w:ascii="Times New Roman" w:eastAsia="Calibri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Pr>
      <w:rFonts w:ascii="Garamond" w:eastAsia="Times New Roman" w:hAnsi="Garamond" w:cs="Times New Roman"/>
      <w:color w:val="000000"/>
    </w:rPr>
  </w:style>
  <w:style w:type="paragraph" w:customStyle="1" w:styleId="Iauiue">
    <w:name w:val="Iau?iu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paragraph" w:styleId="ae">
    <w:name w:val="Revision"/>
    <w:hidden/>
    <w:uiPriority w:val="99"/>
    <w:semiHidden/>
    <w:pPr>
      <w:spacing w:after="0" w:line="240" w:lineRule="auto"/>
    </w:pPr>
  </w:style>
  <w:style w:type="paragraph" w:customStyle="1" w:styleId="110">
    <w:name w:val="Обычный + 11 пт"/>
    <w:aliases w:val="По ширине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paragraph" w:customStyle="1" w:styleId="af3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pPr>
      <w:numPr>
        <w:numId w:val="5"/>
      </w:numPr>
    </w:pPr>
  </w:style>
  <w:style w:type="paragraph" w:customStyle="1" w:styleId="msolistparagraph0">
    <w:name w:val="msolistparagraph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4">
    <w:name w:val="Основной текст Знак4"/>
    <w:aliases w:val="body text Знак3"/>
    <w:rPr>
      <w:sz w:val="22"/>
      <w:lang w:val="en-GB" w:eastAsia="en-US" w:bidi="ar-SA"/>
    </w:rPr>
  </w:style>
  <w:style w:type="paragraph" w:customStyle="1" w:styleId="subsubclauseindent">
    <w:name w:val="subsubclauseindent"/>
    <w:basedOn w:val="a"/>
    <w:pPr>
      <w:spacing w:before="120" w:after="120" w:line="240" w:lineRule="auto"/>
      <w:ind w:left="2552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Pr>
      <w:rFonts w:eastAsiaTheme="minorEastAsia"/>
      <w:color w:val="5A5A5A" w:themeColor="text1" w:themeTint="A5"/>
      <w:spacing w:val="15"/>
    </w:rPr>
  </w:style>
  <w:style w:type="paragraph" w:styleId="af6">
    <w:name w:val="Body Text Indent"/>
    <w:basedOn w:val="a"/>
    <w:link w:val="af7"/>
    <w:uiPriority w:val="99"/>
    <w:unhideWhenUsed/>
    <w:pPr>
      <w:spacing w:after="120" w:line="360" w:lineRule="auto"/>
      <w:ind w:left="283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7">
    <w:name w:val="Основной текст с отступом Знак"/>
    <w:basedOn w:val="a0"/>
    <w:link w:val="af6"/>
    <w:uiPriority w:val="99"/>
    <w:rPr>
      <w:rFonts w:ascii="Times New Roman" w:eastAsia="Calibri" w:hAnsi="Times New Roman" w:cs="Times New Roman"/>
      <w:sz w:val="24"/>
    </w:rPr>
  </w:style>
  <w:style w:type="character" w:styleId="af8">
    <w:name w:val="Hyperlink"/>
    <w:basedOn w:val="a0"/>
    <w:uiPriority w:val="99"/>
    <w:semiHidden/>
    <w:unhideWhenUsed/>
    <w:rPr>
      <w:color w:val="0563C1"/>
      <w:u w:val="single"/>
    </w:rPr>
  </w:style>
  <w:style w:type="character" w:styleId="af9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6"/>
      <w:szCs w:val="16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4"/>
      <w:szCs w:val="14"/>
      <w:lang w:eastAsia="ru-RU"/>
    </w:rPr>
  </w:style>
  <w:style w:type="paragraph" w:customStyle="1" w:styleId="font9">
    <w:name w:val="font9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16"/>
      <w:szCs w:val="16"/>
      <w:lang w:eastAsia="ru-RU"/>
    </w:rPr>
  </w:style>
  <w:style w:type="paragraph" w:customStyle="1" w:styleId="xl74">
    <w:name w:val="xl74"/>
    <w:basedOn w:val="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5">
    <w:name w:val="xl85"/>
    <w:basedOn w:val="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9">
    <w:name w:val="xl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0">
    <w:name w:val="xl9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104">
    <w:name w:val="xl104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table" w:styleId="afa">
    <w:name w:val="Table Grid"/>
    <w:basedOn w:val="a1"/>
    <w:uiPriority w:val="39"/>
    <w:pPr>
      <w:spacing w:before="18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E219E-8FE7-4F19-B5EE-226C3395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Дряницын Евгений Алексеевич</dc:creator>
  <cp:keywords/>
  <dc:description/>
  <cp:lastModifiedBy>Пряхина Ирина Игоревна</cp:lastModifiedBy>
  <cp:revision>5</cp:revision>
  <dcterms:created xsi:type="dcterms:W3CDTF">2023-07-12T14:13:00Z</dcterms:created>
  <dcterms:modified xsi:type="dcterms:W3CDTF">2023-07-18T12:43:00Z</dcterms:modified>
</cp:coreProperties>
</file>