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E90C" w14:textId="5BCE2A28" w:rsidR="0037516B" w:rsidRDefault="00CF3CD6" w:rsidP="00B00C62">
      <w:pPr>
        <w:keepNext/>
        <w:tabs>
          <w:tab w:val="left" w:pos="5529"/>
        </w:tabs>
        <w:spacing w:after="0" w:line="240" w:lineRule="auto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  <w:lang w:val="en-US"/>
        </w:rPr>
        <w:t>V</w:t>
      </w:r>
      <w:r>
        <w:rPr>
          <w:rFonts w:ascii="Garamond" w:hAnsi="Garamond"/>
          <w:b/>
          <w:iCs/>
          <w:sz w:val="28"/>
          <w:szCs w:val="28"/>
        </w:rPr>
        <w:t>.6. Изменения,</w:t>
      </w:r>
      <w:r>
        <w:rPr>
          <w:rFonts w:ascii="Garamond" w:hAnsi="Garamond"/>
          <w:b/>
          <w:i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связанные с переходом на ПО «Формы ЦФР»</w:t>
      </w:r>
    </w:p>
    <w:p w14:paraId="3D0B31F3" w14:textId="77777777" w:rsidR="0037516B" w:rsidRDefault="0037516B" w:rsidP="00B00C62">
      <w:pPr>
        <w:keepNext/>
        <w:tabs>
          <w:tab w:val="left" w:pos="5529"/>
        </w:tabs>
        <w:spacing w:after="0" w:line="240" w:lineRule="auto"/>
        <w:jc w:val="both"/>
        <w:rPr>
          <w:rFonts w:ascii="Garamond" w:hAnsi="Garamond"/>
          <w:b/>
          <w:iCs/>
          <w:sz w:val="28"/>
          <w:szCs w:val="28"/>
        </w:rPr>
      </w:pPr>
    </w:p>
    <w:p w14:paraId="718800C8" w14:textId="77777777" w:rsidR="0037516B" w:rsidRDefault="00CF3CD6" w:rsidP="00B00C62">
      <w:pPr>
        <w:keepNext/>
        <w:tabs>
          <w:tab w:val="left" w:pos="5529"/>
        </w:tabs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Приложение № 5.</w:t>
      </w:r>
      <w:r w:rsidR="00701952">
        <w:rPr>
          <w:rFonts w:ascii="Garamond" w:hAnsi="Garamond"/>
          <w:b/>
          <w:iCs/>
          <w:sz w:val="28"/>
          <w:szCs w:val="28"/>
        </w:rPr>
        <w:t>6.1</w:t>
      </w:r>
    </w:p>
    <w:p w14:paraId="0992D9C4" w14:textId="77777777" w:rsidR="0037516B" w:rsidRDefault="0037516B" w:rsidP="00B00C62">
      <w:pPr>
        <w:keepNext/>
        <w:tabs>
          <w:tab w:val="left" w:pos="5529"/>
        </w:tabs>
        <w:spacing w:after="0" w:line="240" w:lineRule="auto"/>
        <w:ind w:left="10348"/>
        <w:jc w:val="center"/>
        <w:rPr>
          <w:rFonts w:ascii="Garamond" w:hAnsi="Garamond"/>
        </w:rPr>
      </w:pPr>
    </w:p>
    <w:p w14:paraId="61B8F743" w14:textId="77777777" w:rsidR="0037516B" w:rsidRDefault="00CF3CD6" w:rsidP="00B0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Инициатор: </w:t>
      </w:r>
      <w:r>
        <w:rPr>
          <w:rFonts w:ascii="Garamond" w:eastAsia="Times New Roman" w:hAnsi="Garamond" w:cs="Garamond"/>
          <w:bCs/>
          <w:sz w:val="24"/>
          <w:szCs w:val="24"/>
          <w:lang w:eastAsia="ru-RU"/>
        </w:rPr>
        <w:t>АО «ЦФР».</w:t>
      </w:r>
    </w:p>
    <w:p w14:paraId="0FF2B4FC" w14:textId="1AFF781D" w:rsidR="0037516B" w:rsidRDefault="00CF3CD6" w:rsidP="00B0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Обоснование: </w:t>
      </w:r>
      <w:r>
        <w:rPr>
          <w:rFonts w:ascii="Garamond" w:hAnsi="Garamond"/>
          <w:sz w:val="24"/>
          <w:szCs w:val="24"/>
        </w:rPr>
        <w:t>перевод функционала из ПО «АРМ</w:t>
      </w:r>
      <w:r w:rsidR="00B00C6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участника» на ПО «Формы ЦФР».</w:t>
      </w:r>
    </w:p>
    <w:p w14:paraId="6D15F3BF" w14:textId="77777777" w:rsidR="0037516B" w:rsidRDefault="00CF3CD6" w:rsidP="00B0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Garamond"/>
          <w:bCs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Дата вступления в силу: </w:t>
      </w:r>
      <w:r>
        <w:rPr>
          <w:rFonts w:ascii="Garamond" w:eastAsia="Times New Roman" w:hAnsi="Garamond" w:cs="Garamond"/>
          <w:bCs/>
          <w:sz w:val="24"/>
          <w:szCs w:val="24"/>
          <w:lang w:eastAsia="ru-RU"/>
        </w:rPr>
        <w:t>1 января 2025 года.</w:t>
      </w:r>
    </w:p>
    <w:p w14:paraId="7E34DC2C" w14:textId="77777777" w:rsidR="0037516B" w:rsidRDefault="0037516B" w:rsidP="00B00C62">
      <w:pPr>
        <w:widowControl w:val="0"/>
        <w:spacing w:after="0" w:line="240" w:lineRule="auto"/>
        <w:jc w:val="right"/>
        <w:rPr>
          <w:rFonts w:ascii="Garamond" w:hAnsi="Garamond"/>
          <w:b/>
        </w:rPr>
      </w:pPr>
    </w:p>
    <w:p w14:paraId="4CEF7281" w14:textId="77777777" w:rsidR="0037516B" w:rsidRDefault="00CF3CD6" w:rsidP="00B00C62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bookmarkStart w:id="0" w:name="_Toc187654663"/>
      <w:bookmarkStart w:id="1" w:name="_Toc80835394"/>
      <w:r>
        <w:rPr>
          <w:rFonts w:ascii="Garamond" w:hAnsi="Garamond"/>
          <w:b/>
          <w:sz w:val="26"/>
          <w:szCs w:val="26"/>
        </w:rPr>
        <w:t xml:space="preserve">РЕГЛАМЕНТ ФИНАНСОВЫХ РАСЧЕТОВ НА ОПТОВОМ РЫНКЕ ЭЛЕКТРОЭНЕРГИИ </w:t>
      </w:r>
      <w:r>
        <w:rPr>
          <w:rFonts w:ascii="Garamond" w:hAnsi="Garamond" w:cs="Garamond"/>
          <w:b/>
          <w:bCs/>
          <w:sz w:val="26"/>
          <w:szCs w:val="26"/>
        </w:rPr>
        <w:t>(Приложение № 16 к Договору о присоединении к торговой системе оптового рынка)</w:t>
      </w:r>
      <w:bookmarkEnd w:id="0"/>
      <w:bookmarkEnd w:id="1"/>
    </w:p>
    <w:p w14:paraId="190895B5" w14:textId="77777777" w:rsidR="0037516B" w:rsidRDefault="0037516B" w:rsidP="00B00C62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879"/>
        <w:gridCol w:w="6945"/>
      </w:tblGrid>
      <w:tr w:rsidR="0037516B" w14:paraId="08F212C5" w14:textId="77777777" w:rsidTr="00B00C62">
        <w:tc>
          <w:tcPr>
            <w:tcW w:w="918" w:type="dxa"/>
            <w:vAlign w:val="center"/>
          </w:tcPr>
          <w:p w14:paraId="7964083B" w14:textId="77777777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 xml:space="preserve">№ </w:t>
            </w:r>
          </w:p>
          <w:p w14:paraId="0D9CCA94" w14:textId="77777777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пункта</w:t>
            </w:r>
          </w:p>
        </w:tc>
        <w:tc>
          <w:tcPr>
            <w:tcW w:w="6879" w:type="dxa"/>
          </w:tcPr>
          <w:p w14:paraId="53144F14" w14:textId="77777777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ru-RU"/>
              </w:rPr>
            </w:pPr>
            <w:r>
              <w:rPr>
                <w:rFonts w:ascii="Garamond" w:eastAsia="Times New Roman" w:hAnsi="Garamond"/>
                <w:b/>
                <w:bCs/>
                <w:lang w:eastAsia="ru-RU"/>
              </w:rPr>
              <w:t>Редакция, действующая на момент</w:t>
            </w:r>
          </w:p>
          <w:p w14:paraId="4D2A9EC3" w14:textId="77777777" w:rsidR="0037516B" w:rsidRDefault="00CF3CD6" w:rsidP="00B00C62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bCs/>
                <w:lang w:eastAsia="ru-RU"/>
              </w:rPr>
              <w:t>вступления в силу изменений</w:t>
            </w:r>
          </w:p>
        </w:tc>
        <w:tc>
          <w:tcPr>
            <w:tcW w:w="6945" w:type="dxa"/>
          </w:tcPr>
          <w:p w14:paraId="77197946" w14:textId="77777777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Предлагаемая редакция</w:t>
            </w:r>
          </w:p>
          <w:p w14:paraId="274E7BDA" w14:textId="77777777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(изменения выделены цветом)</w:t>
            </w:r>
          </w:p>
        </w:tc>
      </w:tr>
      <w:tr w:rsidR="0037516B" w14:paraId="39B1BD4F" w14:textId="77777777" w:rsidTr="00B00C62">
        <w:trPr>
          <w:trHeight w:val="147"/>
        </w:trPr>
        <w:tc>
          <w:tcPr>
            <w:tcW w:w="918" w:type="dxa"/>
            <w:shd w:val="clear" w:color="auto" w:fill="auto"/>
            <w:vAlign w:val="center"/>
          </w:tcPr>
          <w:p w14:paraId="49C6C85D" w14:textId="74D67051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27.1.1</w:t>
            </w:r>
          </w:p>
        </w:tc>
        <w:tc>
          <w:tcPr>
            <w:tcW w:w="6879" w:type="dxa"/>
            <w:shd w:val="clear" w:color="auto" w:fill="auto"/>
          </w:tcPr>
          <w:p w14:paraId="6A01657C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случае если:</w:t>
            </w:r>
          </w:p>
          <w:p w14:paraId="529F2DBF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а)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документооборота; или</w:t>
            </w:r>
          </w:p>
          <w:p w14:paraId="3FAAE136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б) счет-фактура в соответствии с условиями заключенного между комиссионером и комитентом соглашения об обмене документами в электронной форме через операторов электронного</w:t>
            </w:r>
            <w:r>
              <w:rPr>
                <w:szCs w:val="22"/>
                <w:lang w:val="ru-RU"/>
              </w:rPr>
              <w:br/>
              <w:t>документооборота направляется на бумажном носителе; или</w:t>
            </w:r>
          </w:p>
          <w:p w14:paraId="198EB2E1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в) между комитентом и ЦФР не заключено Соглашение об обмене документами в электронной форме через операторов электронного документооборота, </w:t>
            </w:r>
          </w:p>
          <w:p w14:paraId="1271288C" w14:textId="77777777" w:rsidR="0037516B" w:rsidRDefault="00CF3CD6" w:rsidP="00B00C62">
            <w:pPr>
              <w:pStyle w:val="a1"/>
              <w:spacing w:before="120" w:after="120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то в соответствии с условиями договоров комиссии на РСВ, договоров комиссии на БР, договоров комиссии НЦЗ комитент направляет ЦФР не позднее 21-го числа месяца, следующего за расчетным периодом, информацию о показателях счетов-фактур в электронном виде с использованием ЭП в соответствии с формой, предусмотренной приложением 27.1 к настоящему Регламенту, посредством </w:t>
            </w:r>
            <w:r>
              <w:rPr>
                <w:szCs w:val="22"/>
                <w:highlight w:val="yellow"/>
                <w:lang w:val="ru-RU"/>
              </w:rPr>
              <w:t>ПО «АРМ Участника»</w:t>
            </w:r>
            <w:r>
              <w:rPr>
                <w:szCs w:val="22"/>
                <w:lang w:val="ru-RU"/>
              </w:rPr>
              <w:t>.</w:t>
            </w:r>
          </w:p>
          <w:p w14:paraId="574787D9" w14:textId="49EB8BA7" w:rsidR="0037516B" w:rsidRDefault="00CF3CD6" w:rsidP="00B00C62">
            <w:pPr>
              <w:pStyle w:val="a1"/>
              <w:spacing w:before="120" w:after="120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…</w:t>
            </w:r>
          </w:p>
        </w:tc>
        <w:tc>
          <w:tcPr>
            <w:tcW w:w="6945" w:type="dxa"/>
            <w:shd w:val="clear" w:color="auto" w:fill="auto"/>
          </w:tcPr>
          <w:p w14:paraId="6E3371FC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случае если:</w:t>
            </w:r>
          </w:p>
          <w:p w14:paraId="46A8CECD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а)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документооборота; или</w:t>
            </w:r>
          </w:p>
          <w:p w14:paraId="55126ADC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б) счет-фактура в соответствии с условиями заключенного между комиссионером и комитентом соглашения об обмене документами в электронной форме через операторов электронного</w:t>
            </w:r>
            <w:r>
              <w:rPr>
                <w:szCs w:val="22"/>
                <w:lang w:val="ru-RU"/>
              </w:rPr>
              <w:br/>
              <w:t>документооборота направляется на бумажном носителе; или</w:t>
            </w:r>
          </w:p>
          <w:p w14:paraId="3E9A5256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в) между комитентом и ЦФР не заключено Соглашение об обмене документами в электронной форме через операторов электронного документооборота, </w:t>
            </w:r>
          </w:p>
          <w:p w14:paraId="415593F8" w14:textId="77777777" w:rsidR="0037516B" w:rsidRDefault="00CF3CD6" w:rsidP="00B00C62">
            <w:pPr>
              <w:pStyle w:val="a1"/>
              <w:spacing w:before="120" w:after="120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то в соответствии с условиями договоров комиссии на РСВ, договоров комиссии на БР, договоров комиссии НЦЗ комитент направляет ЦФР не позднее 21-го числа месяца, следующего за расчетным периодом, информацию о показателях счетов-фактур в электронном виде с использованием ЭП в соответствии с формой, предусмотренной приложением 27.1 к настоящему Регламенту, посредством </w:t>
            </w:r>
            <w:r>
              <w:rPr>
                <w:szCs w:val="22"/>
                <w:highlight w:val="yellow"/>
                <w:lang w:val="ru-RU"/>
              </w:rPr>
              <w:t>личного кабинета «Формы ЦФР»</w:t>
            </w:r>
            <w:r>
              <w:rPr>
                <w:szCs w:val="22"/>
                <w:lang w:val="ru-RU"/>
              </w:rPr>
              <w:t>.</w:t>
            </w:r>
          </w:p>
          <w:p w14:paraId="77F629E2" w14:textId="4ABD8E73" w:rsidR="0037516B" w:rsidRPr="00B00C62" w:rsidRDefault="00CF3CD6" w:rsidP="00B00C62">
            <w:pPr>
              <w:pStyle w:val="a1"/>
              <w:spacing w:before="120" w:after="120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…</w:t>
            </w:r>
          </w:p>
        </w:tc>
      </w:tr>
      <w:tr w:rsidR="0037516B" w14:paraId="2516E934" w14:textId="77777777" w:rsidTr="00B00C62">
        <w:trPr>
          <w:trHeight w:val="147"/>
        </w:trPr>
        <w:tc>
          <w:tcPr>
            <w:tcW w:w="918" w:type="dxa"/>
            <w:shd w:val="clear" w:color="auto" w:fill="auto"/>
            <w:vAlign w:val="center"/>
          </w:tcPr>
          <w:p w14:paraId="72B8636D" w14:textId="050596C5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27.1.2</w:t>
            </w:r>
          </w:p>
        </w:tc>
        <w:tc>
          <w:tcPr>
            <w:tcW w:w="6879" w:type="dxa"/>
            <w:shd w:val="clear" w:color="auto" w:fill="auto"/>
          </w:tcPr>
          <w:p w14:paraId="26CB43BC" w14:textId="77777777" w:rsidR="0037516B" w:rsidRDefault="00CF3CD6" w:rsidP="00B00C62">
            <w:pPr>
              <w:pStyle w:val="a1"/>
              <w:spacing w:before="120" w:after="120"/>
              <w:jc w:val="both"/>
              <w:rPr>
                <w:rStyle w:val="markedcontent"/>
                <w:rFonts w:ascii="Calibri" w:eastAsia="Calibri" w:hAnsi="Calibri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…</w:t>
            </w:r>
          </w:p>
          <w:p w14:paraId="5EF255F1" w14:textId="7EAC7E5A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rStyle w:val="markedcontent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По запросу ЦФР, направленному по электронной почте с использованием электронной подписи по форме приложения 27.5 к настоящему Регламенту, комитент в течение 2 рабочих дней с даты отправки</w:t>
            </w:r>
            <w:r w:rsidR="00B00C62">
              <w:rPr>
                <w:rStyle w:val="markedcontent"/>
                <w:szCs w:val="22"/>
                <w:lang w:val="ru-RU"/>
              </w:rPr>
              <w:t xml:space="preserve"> </w:t>
            </w:r>
            <w:r>
              <w:rPr>
                <w:rStyle w:val="markedcontent"/>
                <w:szCs w:val="22"/>
                <w:lang w:val="ru-RU"/>
              </w:rPr>
              <w:t xml:space="preserve">данного запроса ЦФР направляет в адрес ЦФР с использованием </w:t>
            </w:r>
            <w:r>
              <w:rPr>
                <w:rStyle w:val="markedcontent"/>
                <w:szCs w:val="22"/>
                <w:highlight w:val="yellow"/>
                <w:lang w:val="ru-RU"/>
              </w:rPr>
              <w:t>ПО «АРМ Участника»</w:t>
            </w:r>
            <w:r>
              <w:rPr>
                <w:rStyle w:val="markedcontent"/>
                <w:szCs w:val="22"/>
                <w:lang w:val="ru-RU"/>
              </w:rPr>
              <w:t xml:space="preserve"> копии запрашиваемых счетов-фактур. </w:t>
            </w:r>
          </w:p>
          <w:p w14:paraId="11D7E5CE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rStyle w:val="markedcontent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Дополнительно ЦФР размещает данный запрос в разделе с ограниченным в соответствии с Правилами ЭДО СЭД КО доступом на сайте КО в персональном разделе участника оптового рынка.</w:t>
            </w:r>
            <w:r>
              <w:rPr>
                <w:szCs w:val="22"/>
                <w:lang w:val="ru-RU"/>
              </w:rPr>
              <w:br/>
            </w:r>
            <w:r>
              <w:rPr>
                <w:rStyle w:val="markedcontent"/>
                <w:szCs w:val="22"/>
                <w:lang w:val="ru-RU"/>
              </w:rPr>
              <w:t>ЦФР не принимает копию счета-фактуры в случае, если любой из показателей копии счета-фактуры не соответствует аналогичному показателю, полученному и принятому ЦФР в информации о</w:t>
            </w:r>
            <w:r>
              <w:rPr>
                <w:szCs w:val="22"/>
                <w:lang w:val="ru-RU"/>
              </w:rPr>
              <w:br/>
            </w:r>
            <w:r>
              <w:rPr>
                <w:rStyle w:val="markedcontent"/>
                <w:szCs w:val="22"/>
                <w:lang w:val="ru-RU"/>
              </w:rPr>
              <w:t>показателях данного счета-фактуры комитента.</w:t>
            </w:r>
          </w:p>
          <w:p w14:paraId="2297CEDA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rStyle w:val="markedcontent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По состоянию на третий рабочий день с даты отправки запроса по форме приложения 27.5 к настоящему Регламенту ЦФР фиксирует факт получения/неполучения от комитента копий запрошенных</w:t>
            </w:r>
            <w:r>
              <w:rPr>
                <w:szCs w:val="22"/>
                <w:lang w:val="ru-RU"/>
              </w:rPr>
              <w:br/>
            </w:r>
            <w:r>
              <w:rPr>
                <w:rStyle w:val="markedcontent"/>
                <w:szCs w:val="22"/>
                <w:lang w:val="ru-RU"/>
              </w:rPr>
              <w:t>счетов-фактур и их принятия/непринятия.</w:t>
            </w:r>
          </w:p>
          <w:p w14:paraId="34E751D2" w14:textId="5E6A6E30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ЦФР в персональном разделе участника оптового рынка на официальном сайте КО для комитентов в срок не позднее 5-го числа месяца, следующего за месяцем фиксации факта получения/неполучения от комитента копий запрошенных счетов-фактур и их принятия/непринятия, публикует Уведомление о получении/неполучении ЦФР копий запрошенных счетов-фактур и их принятии/непринятии</w:t>
            </w:r>
            <w:r w:rsidR="00B00C62">
              <w:rPr>
                <w:rStyle w:val="markedcontent"/>
                <w:szCs w:val="22"/>
                <w:lang w:val="ru-RU"/>
              </w:rPr>
              <w:t xml:space="preserve"> </w:t>
            </w:r>
            <w:r>
              <w:rPr>
                <w:rStyle w:val="markedcontent"/>
                <w:szCs w:val="22"/>
                <w:lang w:val="ru-RU"/>
              </w:rPr>
              <w:t>в</w:t>
            </w:r>
            <w:r w:rsidR="00B00C62">
              <w:rPr>
                <w:rStyle w:val="markedcontent"/>
                <w:szCs w:val="22"/>
                <w:lang w:val="ru-RU"/>
              </w:rPr>
              <w:t xml:space="preserve"> </w:t>
            </w:r>
            <w:r>
              <w:rPr>
                <w:rStyle w:val="markedcontent"/>
                <w:szCs w:val="22"/>
                <w:lang w:val="ru-RU"/>
              </w:rPr>
              <w:t>электронном виде с использованием электронной подписи по форме приложения 27.6 к настоящему Регламенту.</w:t>
            </w:r>
          </w:p>
        </w:tc>
        <w:tc>
          <w:tcPr>
            <w:tcW w:w="6945" w:type="dxa"/>
            <w:shd w:val="clear" w:color="auto" w:fill="auto"/>
          </w:tcPr>
          <w:p w14:paraId="293AA9DA" w14:textId="77777777" w:rsidR="0037516B" w:rsidRDefault="00CF3CD6" w:rsidP="00B00C62">
            <w:pPr>
              <w:pStyle w:val="a1"/>
              <w:spacing w:before="120" w:after="120"/>
              <w:jc w:val="both"/>
              <w:rPr>
                <w:rStyle w:val="markedcontent"/>
                <w:rFonts w:ascii="Calibri" w:eastAsia="Calibri" w:hAnsi="Calibri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…</w:t>
            </w:r>
          </w:p>
          <w:p w14:paraId="4A92CB63" w14:textId="3B2C7973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rStyle w:val="markedcontent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По запросу ЦФР, направленному по электронной почте с использованием электронной подписи по форме приложения 27.5 к настоящему Регламенту, комитент в течение 2 рабочих дней с даты отправки</w:t>
            </w:r>
            <w:r w:rsidR="00B00C62">
              <w:rPr>
                <w:rStyle w:val="markedcontent"/>
                <w:szCs w:val="22"/>
                <w:lang w:val="ru-RU"/>
              </w:rPr>
              <w:t xml:space="preserve"> </w:t>
            </w:r>
            <w:r>
              <w:rPr>
                <w:rStyle w:val="markedcontent"/>
                <w:szCs w:val="22"/>
                <w:lang w:val="ru-RU"/>
              </w:rPr>
              <w:t xml:space="preserve">данного запроса ЦФР направляет в адрес ЦФР с использованием </w:t>
            </w:r>
            <w:r>
              <w:rPr>
                <w:rStyle w:val="markedcontent"/>
                <w:szCs w:val="22"/>
                <w:highlight w:val="yellow"/>
                <w:lang w:val="ru-RU"/>
              </w:rPr>
              <w:t>личного кабинета «Формы ЦФР»</w:t>
            </w:r>
            <w:r>
              <w:rPr>
                <w:rStyle w:val="markedcontent"/>
                <w:szCs w:val="22"/>
                <w:lang w:val="ru-RU"/>
              </w:rPr>
              <w:t xml:space="preserve"> копии запрашиваемых счетов-фактур. </w:t>
            </w:r>
          </w:p>
          <w:p w14:paraId="7C9181D5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rStyle w:val="markedcontent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Дополнительно ЦФР размещает данный запрос в разделе с ограниченным в соответствии с Правилами ЭДО СЭД КО доступом на сайте КО в персональном разделе участника оптового рынка.</w:t>
            </w:r>
            <w:r>
              <w:rPr>
                <w:szCs w:val="22"/>
                <w:lang w:val="ru-RU"/>
              </w:rPr>
              <w:br/>
            </w:r>
            <w:r>
              <w:rPr>
                <w:rStyle w:val="markedcontent"/>
                <w:szCs w:val="22"/>
                <w:lang w:val="ru-RU"/>
              </w:rPr>
              <w:t>ЦФР не принимает копию счета-фактуры в случае, если любой из показателей копии счета-фактуры не соответствует аналогичному показателю, полученному и принятому ЦФР в информации о</w:t>
            </w:r>
            <w:r>
              <w:rPr>
                <w:szCs w:val="22"/>
                <w:lang w:val="ru-RU"/>
              </w:rPr>
              <w:br/>
            </w:r>
            <w:r>
              <w:rPr>
                <w:rStyle w:val="markedcontent"/>
                <w:szCs w:val="22"/>
                <w:lang w:val="ru-RU"/>
              </w:rPr>
              <w:t>показателях данного счета-фактуры комитента.</w:t>
            </w:r>
          </w:p>
          <w:p w14:paraId="752EC5A8" w14:textId="77777777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rStyle w:val="markedcontent"/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По состоянию на третий рабочий день с даты отправки запроса по форме приложения 27.5 к настоящему Регламенту ЦФР фиксирует факт получения/неполучения от комитента копий запрошенных</w:t>
            </w:r>
            <w:r>
              <w:rPr>
                <w:szCs w:val="22"/>
                <w:lang w:val="ru-RU"/>
              </w:rPr>
              <w:br/>
            </w:r>
            <w:r>
              <w:rPr>
                <w:rStyle w:val="markedcontent"/>
                <w:szCs w:val="22"/>
                <w:lang w:val="ru-RU"/>
              </w:rPr>
              <w:t>счетов-фактур и их принятия/непринятия.</w:t>
            </w:r>
          </w:p>
          <w:p w14:paraId="1E61B2D9" w14:textId="32BF0758" w:rsidR="0037516B" w:rsidRDefault="00CF3CD6" w:rsidP="00B00C62">
            <w:pPr>
              <w:pStyle w:val="a1"/>
              <w:spacing w:before="120" w:after="120"/>
              <w:ind w:firstLine="533"/>
              <w:jc w:val="both"/>
              <w:rPr>
                <w:szCs w:val="22"/>
                <w:lang w:val="ru-RU"/>
              </w:rPr>
            </w:pPr>
            <w:r>
              <w:rPr>
                <w:rStyle w:val="markedcontent"/>
                <w:szCs w:val="22"/>
                <w:lang w:val="ru-RU"/>
              </w:rPr>
              <w:t>ЦФР в персональном разделе участника оптового рынка на официальном сайте КО для комитентов в срок не позднее 5-го числа месяца, следующего за месяцем фиксации факта получения/неполучения от комитента копий запрошенных счетов-фактур и их принятия/непринятия, публикует Уведомление о получении/неполучении ЦФР копий запрошенных счетов-фактур и их принятии/непринятии в</w:t>
            </w:r>
            <w:r w:rsidR="00B00C62">
              <w:rPr>
                <w:rStyle w:val="markedcontent"/>
                <w:szCs w:val="22"/>
                <w:lang w:val="ru-RU"/>
              </w:rPr>
              <w:t xml:space="preserve"> </w:t>
            </w:r>
            <w:r>
              <w:rPr>
                <w:rStyle w:val="markedcontent"/>
                <w:szCs w:val="22"/>
                <w:lang w:val="ru-RU"/>
              </w:rPr>
              <w:t>электронном виде с использованием электронной подписи по форме приложения 27.6 к настоящему Регламенту.</w:t>
            </w:r>
          </w:p>
        </w:tc>
      </w:tr>
      <w:tr w:rsidR="0037516B" w14:paraId="4ED8821A" w14:textId="77777777" w:rsidTr="00B00C62">
        <w:trPr>
          <w:trHeight w:val="147"/>
        </w:trPr>
        <w:tc>
          <w:tcPr>
            <w:tcW w:w="918" w:type="dxa"/>
            <w:shd w:val="clear" w:color="auto" w:fill="auto"/>
            <w:vAlign w:val="center"/>
          </w:tcPr>
          <w:p w14:paraId="7AFD3678" w14:textId="3A7838A2" w:rsidR="0037516B" w:rsidRDefault="00CF3CD6" w:rsidP="00B00C62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ru-RU"/>
              </w:rPr>
            </w:pPr>
            <w:r>
              <w:rPr>
                <w:rFonts w:ascii="Garamond" w:eastAsia="Times New Roman" w:hAnsi="Garamond"/>
                <w:b/>
                <w:lang w:eastAsia="ru-RU"/>
              </w:rPr>
              <w:t>27.2.3</w:t>
            </w:r>
          </w:p>
        </w:tc>
        <w:tc>
          <w:tcPr>
            <w:tcW w:w="6879" w:type="dxa"/>
            <w:shd w:val="clear" w:color="auto" w:fill="auto"/>
          </w:tcPr>
          <w:p w14:paraId="5F1F9DD7" w14:textId="77777777" w:rsidR="0037516B" w:rsidRDefault="00CF3CD6" w:rsidP="00B00C62">
            <w:pPr>
              <w:spacing w:before="120" w:after="120" w:line="240" w:lineRule="auto"/>
              <w:jc w:val="both"/>
              <w:rPr>
                <w:rStyle w:val="markedcontent"/>
                <w:rFonts w:ascii="Garamond" w:eastAsia="Times New Roman" w:hAnsi="Garamond"/>
              </w:rPr>
            </w:pPr>
            <w:r>
              <w:rPr>
                <w:rStyle w:val="markedcontent"/>
                <w:rFonts w:ascii="Garamond" w:eastAsia="Times New Roman" w:hAnsi="Garamond"/>
              </w:rPr>
              <w:t>…</w:t>
            </w:r>
          </w:p>
          <w:p w14:paraId="5AF731DF" w14:textId="77777777" w:rsidR="0037516B" w:rsidRDefault="00CF3CD6" w:rsidP="00B00C62">
            <w:pPr>
              <w:pStyle w:val="af0"/>
              <w:numPr>
                <w:ilvl w:val="0"/>
                <w:numId w:val="44"/>
              </w:numPr>
              <w:spacing w:before="120" w:after="120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в случаях, когда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документооборота, или счет-фактура в соответствии с условиями заключенного между комиссионером и комитентом соглашения об обмене документами в электронной форме через операторов электронного документооборота направляется на бумажном носителе, или между комитентом и ЦФР не заключено Соглашение об обмене документами в электронной форме через операторов электронного документооборота, если:</w:t>
            </w:r>
          </w:p>
          <w:p w14:paraId="58412003" w14:textId="77777777" w:rsidR="0037516B" w:rsidRDefault="00CF3CD6" w:rsidP="00B00C62">
            <w:pPr>
              <w:pStyle w:val="ac"/>
              <w:spacing w:before="120" w:after="120"/>
              <w:ind w:left="1100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 xml:space="preserve">– комитент не направил ЦФР до 21-го числа месяца включительно, следующего за расчетным периодом, информацию о показателях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посредством </w:t>
            </w:r>
            <w:r>
              <w:rPr>
                <w:rStyle w:val="markedcontent"/>
                <w:rFonts w:ascii="Garamond" w:hAnsi="Garamond"/>
                <w:sz w:val="22"/>
                <w:szCs w:val="22"/>
                <w:highlight w:val="yellow"/>
                <w:lang w:eastAsia="en-US"/>
              </w:rPr>
              <w:t>ПО «АРМ Участника»;</w:t>
            </w:r>
          </w:p>
          <w:p w14:paraId="5575F16C" w14:textId="77777777" w:rsidR="0037516B" w:rsidRDefault="00CF3CD6" w:rsidP="00B00C62">
            <w:pPr>
              <w:pStyle w:val="ac"/>
              <w:spacing w:before="120" w:after="120"/>
              <w:ind w:left="1100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– ЦФР не получил до 21-го числа второго месяца (включительно), следующего за расчетным, счет-фактуру на электрическую энергию, переданную комитентом на комиссию ЦФР и проданную последним покупателям на оптовом рынке, на бумажном носителе с подписью уполномоченных лиц и при соблюдении одного из следующих условий:</w:t>
            </w:r>
          </w:p>
          <w:p w14:paraId="28BBB060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а) комитент не направил ЦФР до 21-го числа месяца (включительно), следующего за расчетным периодом, информацию о показателях данного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либо</w:t>
            </w:r>
          </w:p>
          <w:p w14:paraId="436A1B2E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б) комитент направил ЦФР до 21-го числа месяца (включительно), следующего за расчетным периодом, информацию о показателях данного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в которой содержались сведения об одном документе (счете-фактуре), выставленном по одному договору, либо</w:t>
            </w:r>
          </w:p>
          <w:p w14:paraId="58A1986A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в) комитент до 21-го числа месяца включительно, следующего за расчетным периодом, направил комиссионеру счета-фактуры, в каждом из которых в графе «Покупатель» указал одного из покупателей, которому комиссионер реализовал электроэнергию от своего имени в соответствии с приложением к отчету комиссионера, и данные об объеме и стоимости реализованной этим покупателям электроэнергии в счетах-фактурах соответствуют информации, отраженной в приложении к отчету комиссионера, при этом общий объем реализованной этим комитентом электроэнергии по договору D больше объема, получаемого путем суммирования данных об объеме из всех полученных до 21-го числа месяца включительно комиссионером счетов-фактур.</w:t>
            </w:r>
          </w:p>
          <w:p w14:paraId="4A60F924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Если комитент направил ЦФР до 21-го числа месяца (включительно), следующего за расчетным периодом, информацию о показателях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в которой содержались сведения о нескольких документах (счетах-фактурах), выставленных по одному договору комиссии, показатель n в данном случае будет равняться количеству этих непредставленных документов.</w:t>
            </w:r>
          </w:p>
          <w:p w14:paraId="0542C3BB" w14:textId="77777777" w:rsidR="0037516B" w:rsidRDefault="00CF3CD6" w:rsidP="00B00C62">
            <w:pPr>
              <w:pStyle w:val="afff1"/>
              <w:shd w:val="clear" w:color="auto" w:fill="FFFFFF"/>
              <w:spacing w:before="120" w:after="120"/>
              <w:ind w:firstLine="459"/>
              <w:jc w:val="both"/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object w:dxaOrig="560" w:dyaOrig="380" w14:anchorId="48A82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29.2pt;height:19.7pt" o:ole="">
                  <v:imagedata r:id="rId8" o:title=""/>
                </v:shape>
                <o:OLEObject Type="Embed" ProgID="Equation.3" ShapeID="_x0000_i1133" DrawAspect="Content" ObjectID="_1796154623" r:id="rId9"/>
              </w:object>
            </w: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t xml:space="preserve"> – количество документов, предоставленное в некорректном формате и (или) с некорректными данными, повлекшее их непринятие ЦФР.</w:t>
            </w:r>
          </w:p>
          <w:p w14:paraId="6D5B94C1" w14:textId="77777777" w:rsidR="0037516B" w:rsidRDefault="00CF3CD6" w:rsidP="00B00C62">
            <w:pPr>
              <w:pStyle w:val="afff1"/>
              <w:shd w:val="clear" w:color="auto" w:fill="FFFFFF"/>
              <w:spacing w:before="120" w:after="120"/>
              <w:ind w:firstLine="459"/>
              <w:jc w:val="both"/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object w:dxaOrig="560" w:dyaOrig="380" w14:anchorId="75DCCD82">
                <v:shape id="_x0000_i1134" type="#_x0000_t75" style="width:29.2pt;height:19.7pt" o:ole="">
                  <v:imagedata r:id="rId8" o:title=""/>
                </v:shape>
                <o:OLEObject Type="Embed" ProgID="Equation.3" ShapeID="_x0000_i1134" DrawAspect="Content" ObjectID="_1796154624" r:id="rId10"/>
              </w:object>
            </w: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t xml:space="preserve"> определяется равным количеству документов, предоставленных в ЦФР в сроки, определенные соответствующим договором комиссии и настоящим Регламентом, в некорректном формате и (или) с некорректными данными и не принятых ЦФР в соответствии с положениями настоящего Регламента.</w:t>
            </w:r>
          </w:p>
          <w:p w14:paraId="6D669650" w14:textId="77777777" w:rsidR="0037516B" w:rsidRDefault="00CF3CD6" w:rsidP="00B00C62">
            <w:pPr>
              <w:pStyle w:val="afff1"/>
              <w:shd w:val="clear" w:color="auto" w:fill="FFFFFF"/>
              <w:spacing w:before="120" w:after="120"/>
              <w:ind w:firstLine="0"/>
              <w:jc w:val="both"/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t>…</w:t>
            </w:r>
          </w:p>
          <w:p w14:paraId="13A171FA" w14:textId="77777777" w:rsidR="0037516B" w:rsidRDefault="00CF3CD6" w:rsidP="00B00C62">
            <w:pPr>
              <w:tabs>
                <w:tab w:val="left" w:pos="567"/>
              </w:tabs>
              <w:spacing w:before="120" w:after="120" w:line="240" w:lineRule="auto"/>
              <w:ind w:firstLine="567"/>
              <w:jc w:val="both"/>
              <w:rPr>
                <w:rStyle w:val="markedcontent"/>
                <w:rFonts w:ascii="Garamond" w:eastAsia="Times New Roman" w:hAnsi="Garamond"/>
              </w:rPr>
            </w:pPr>
            <w:r>
              <w:rPr>
                <w:rStyle w:val="markedcontent"/>
                <w:rFonts w:ascii="Garamond" w:eastAsia="Times New Roman" w:hAnsi="Garamond"/>
              </w:rPr>
              <w:t xml:space="preserve">При предоставлении комитентом информации о показателях счетов-фактур показатель </w:t>
            </w:r>
            <w:r>
              <w:rPr>
                <w:rStyle w:val="markedcontent"/>
                <w:rFonts w:ascii="Garamond" w:eastAsia="Times New Roman" w:hAnsi="Garamond"/>
              </w:rPr>
              <w:object w:dxaOrig="560" w:dyaOrig="380" w14:anchorId="32C4FAF3">
                <v:shape id="_x0000_i1135" type="#_x0000_t75" style="width:29.2pt;height:19.7pt" o:ole="">
                  <v:imagedata r:id="rId8" o:title=""/>
                </v:shape>
                <o:OLEObject Type="Embed" ProgID="Equation.3" ShapeID="_x0000_i1135" DrawAspect="Content" ObjectID="_1796154625" r:id="rId11"/>
              </w:object>
            </w:r>
            <w:r>
              <w:rPr>
                <w:rStyle w:val="markedcontent"/>
                <w:rFonts w:ascii="Garamond" w:eastAsia="Times New Roman" w:hAnsi="Garamond"/>
              </w:rPr>
              <w:t xml:space="preserve"> определяется равным количеству информационных полей/файлов, соответствующих информации о количестве счетов-фактур, направленных с использованием </w:t>
            </w:r>
            <w:r>
              <w:rPr>
                <w:rStyle w:val="markedcontent"/>
                <w:rFonts w:ascii="Garamond" w:eastAsia="Times New Roman" w:hAnsi="Garamond"/>
                <w:highlight w:val="yellow"/>
              </w:rPr>
              <w:t>ПО «АРМ Участника»</w:t>
            </w:r>
            <w:r>
              <w:rPr>
                <w:rStyle w:val="markedcontent"/>
                <w:rFonts w:ascii="Garamond" w:eastAsia="Times New Roman" w:hAnsi="Garamond"/>
              </w:rPr>
              <w:t xml:space="preserve"> от комитента в некорректном формате и (или) с некорректными данными и не принятых ЦФР в соответствии с положениями настоящего Регламента.</w:t>
            </w:r>
          </w:p>
        </w:tc>
        <w:tc>
          <w:tcPr>
            <w:tcW w:w="6945" w:type="dxa"/>
            <w:shd w:val="clear" w:color="auto" w:fill="auto"/>
          </w:tcPr>
          <w:p w14:paraId="339E417D" w14:textId="77777777" w:rsidR="0037516B" w:rsidRDefault="00CF3CD6" w:rsidP="00B00C62">
            <w:pPr>
              <w:spacing w:before="120" w:after="120" w:line="240" w:lineRule="auto"/>
              <w:jc w:val="both"/>
              <w:rPr>
                <w:rStyle w:val="markedcontent"/>
                <w:rFonts w:ascii="Garamond" w:eastAsia="Times New Roman" w:hAnsi="Garamond"/>
              </w:rPr>
            </w:pPr>
            <w:r>
              <w:rPr>
                <w:rStyle w:val="markedcontent"/>
                <w:rFonts w:ascii="Garamond" w:eastAsia="Times New Roman" w:hAnsi="Garamond"/>
              </w:rPr>
              <w:t>…</w:t>
            </w:r>
          </w:p>
          <w:p w14:paraId="59431EB1" w14:textId="77777777" w:rsidR="0037516B" w:rsidRDefault="00CF3CD6" w:rsidP="00B00C62">
            <w:pPr>
              <w:pStyle w:val="af0"/>
              <w:numPr>
                <w:ilvl w:val="0"/>
                <w:numId w:val="46"/>
              </w:numPr>
              <w:spacing w:before="120" w:after="120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в случаях, когда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документооборота, или счет-фактура в соответствии с условиями заключенного между комиссионером и комитентом соглашения об обмене документами в электронной форме через операторов электронного документооборота направляется на бумажном носителе, или между комитентом и ЦФР не заключено Соглашение об обмене документами в электронной форме через операторов электронного документооборота, если:</w:t>
            </w:r>
          </w:p>
          <w:p w14:paraId="7EFD54AC" w14:textId="77777777" w:rsidR="0037516B" w:rsidRDefault="00CF3CD6" w:rsidP="00B00C62">
            <w:pPr>
              <w:pStyle w:val="ac"/>
              <w:spacing w:before="120" w:after="120"/>
              <w:ind w:left="1100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 xml:space="preserve">– комитент не направил ЦФР до 21-го числа месяца включительно, следующего за расчетным периодом, информацию о показателях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посредством </w:t>
            </w:r>
            <w:r>
              <w:rPr>
                <w:rStyle w:val="markedcontent"/>
                <w:rFonts w:ascii="Garamond" w:hAnsi="Garamond"/>
                <w:sz w:val="22"/>
                <w:szCs w:val="22"/>
                <w:highlight w:val="yellow"/>
                <w:lang w:eastAsia="en-US"/>
              </w:rPr>
              <w:t>личного кабинета «Формы ЦФР»;</w:t>
            </w:r>
          </w:p>
          <w:p w14:paraId="57A64BA9" w14:textId="77777777" w:rsidR="0037516B" w:rsidRDefault="00CF3CD6" w:rsidP="00B00C62">
            <w:pPr>
              <w:pStyle w:val="ac"/>
              <w:spacing w:before="120" w:after="120"/>
              <w:ind w:left="1100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– ЦФР не получил до 21-го числа второго месяца (включительно), следующего за расчетным, счет-фактуру на электрическую энергию, переданную комитентом на комиссию ЦФР и проданную последним покупателям на оптовом рынке, на бумажном носителе с подписью уполномоченных лиц и при соблюдении одного из следующих условий:</w:t>
            </w:r>
          </w:p>
          <w:p w14:paraId="21B171EE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а) комитент не направил ЦФР до 21-го числа месяца (включительно), следующего за расчетным периодом, информацию о показателях данного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либо</w:t>
            </w:r>
          </w:p>
          <w:p w14:paraId="2F6C81A4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б) комитент направил ЦФР до 21-го числа месяца (включительно), следующего за расчетным периодом, информацию о показателях данного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в которой содержались сведения об одном документе (счете-фактуре), выставленном по одному договору, либо</w:t>
            </w:r>
          </w:p>
          <w:p w14:paraId="70B643AC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в) комитент до 21-го числа месяца включительно, следующего за расчетным периодом, направил комиссионеру счета-фактуры, в каждом из которых в графе «Покупатель» указал одного из покупателей, которому комиссионер реализовал электроэнергию от своего имени в соответствии с приложением к отчету комиссионера, и данные об объеме и стоимости реализованной этим покупателям электроэнергии в счетах-фактурах соответствуют информации, отраженной в приложении к отчету комиссионера, при этом общий объем реализованной этим комитентом электроэнергии по договору D больше объема, получаемого путем суммирования данных об объеме из всех полученных до 21-го числа месяца включительно комиссионером счетов-фактур.</w:t>
            </w:r>
          </w:p>
          <w:p w14:paraId="1B4F082F" w14:textId="77777777" w:rsidR="0037516B" w:rsidRDefault="00CF3CD6" w:rsidP="00B00C62">
            <w:pPr>
              <w:pStyle w:val="ac"/>
              <w:spacing w:before="120" w:after="120"/>
              <w:ind w:left="1100" w:firstLine="459"/>
              <w:jc w:val="both"/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hAnsi="Garamond"/>
                <w:sz w:val="22"/>
                <w:szCs w:val="22"/>
                <w:lang w:eastAsia="en-US"/>
              </w:rPr>
              <w:t>Если комитент направил ЦФР до 21-го числа месяца (включительно), следующего за расчетным периодом, информацию о показателях счета-фактуры на электрическую энергию, переданную комитентом на комиссию ЦФР и проданную последним покупателям на оптовом рынке, в электронном виде с использованием электронной подписи в соответствии с Соглашением о применении электронной подписи в торговой системе оптового рынка, заключенным по форме, являющейся Приложением № Д 7 к Договору о присоединении к торговой системе оптового рынка, в которой содержались сведения о нескольких документах (счетах-фактурах), выставленных по одному договору комиссии, показатель n в данном случае будет равняться количеству этих непредставленных документов.</w:t>
            </w:r>
          </w:p>
          <w:p w14:paraId="41F9BFBA" w14:textId="77777777" w:rsidR="0037516B" w:rsidRDefault="00CF3CD6" w:rsidP="00B00C62">
            <w:pPr>
              <w:pStyle w:val="afff1"/>
              <w:shd w:val="clear" w:color="auto" w:fill="FFFFFF"/>
              <w:spacing w:before="120" w:after="120"/>
              <w:ind w:firstLine="459"/>
              <w:jc w:val="both"/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</w:pP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object w:dxaOrig="560" w:dyaOrig="380" w14:anchorId="49DC0688">
                <v:shape id="_x0000_i1136" type="#_x0000_t75" style="width:29.2pt;height:19.7pt" o:ole="">
                  <v:imagedata r:id="rId8" o:title=""/>
                </v:shape>
                <o:OLEObject Type="Embed" ProgID="Equation.3" ShapeID="_x0000_i1136" DrawAspect="Content" ObjectID="_1796154626" r:id="rId12"/>
              </w:object>
            </w:r>
            <w:r>
              <w:rPr>
                <w:rStyle w:val="markedcontent"/>
                <w:rFonts w:ascii="Garamond" w:eastAsia="Times New Roman" w:hAnsi="Garamond"/>
                <w:sz w:val="22"/>
                <w:szCs w:val="22"/>
                <w:lang w:eastAsia="en-US"/>
              </w:rPr>
              <w:t xml:space="preserve"> – количество документов, предоставленное в некорректном формате и (или) с некорректными данными, повлекшее их непринятие ЦФР.</w:t>
            </w:r>
          </w:p>
          <w:p w14:paraId="336C65D8" w14:textId="77777777" w:rsidR="0037516B" w:rsidRDefault="00CF3CD6" w:rsidP="00B00C62">
            <w:pPr>
              <w:pStyle w:val="aff1"/>
              <w:spacing w:before="120" w:after="120"/>
              <w:ind w:firstLine="459"/>
              <w:jc w:val="both"/>
              <w:rPr>
                <w:rStyle w:val="markedcontent"/>
                <w:rFonts w:ascii="Garamond" w:eastAsia="Times New Roman" w:hAnsi="Garamond"/>
              </w:rPr>
            </w:pPr>
            <w:r>
              <w:rPr>
                <w:rStyle w:val="markedcontent"/>
                <w:rFonts w:ascii="Garamond" w:eastAsia="Times New Roman" w:hAnsi="Garamond"/>
              </w:rPr>
              <w:t xml:space="preserve">Показатель </w:t>
            </w:r>
            <w:r>
              <w:rPr>
                <w:rStyle w:val="markedcontent"/>
                <w:rFonts w:ascii="Garamond" w:eastAsia="Times New Roman" w:hAnsi="Garamond"/>
              </w:rPr>
              <w:object w:dxaOrig="560" w:dyaOrig="380" w14:anchorId="18F36979">
                <v:shape id="_x0000_i1137" type="#_x0000_t75" style="width:29.2pt;height:19.7pt" o:ole="">
                  <v:imagedata r:id="rId8" o:title=""/>
                </v:shape>
                <o:OLEObject Type="Embed" ProgID="Equation.3" ShapeID="_x0000_i1137" DrawAspect="Content" ObjectID="_1796154627" r:id="rId13"/>
              </w:object>
            </w:r>
            <w:r>
              <w:rPr>
                <w:rStyle w:val="markedcontent"/>
                <w:rFonts w:ascii="Garamond" w:eastAsia="Times New Roman" w:hAnsi="Garamond"/>
              </w:rPr>
              <w:t xml:space="preserve"> определяется равным количеству документов, предоставленных в ЦФР в сроки, определенные соответствующим договором комиссии и настоящим Регламентом, в некорректном формате и (или) с некорректными данными и не принятых ЦФР в соответствии с положениями настоящего Регламента.</w:t>
            </w:r>
          </w:p>
          <w:p w14:paraId="608BE87B" w14:textId="77777777" w:rsidR="0037516B" w:rsidRDefault="00CF3CD6" w:rsidP="00B00C62">
            <w:pPr>
              <w:pStyle w:val="aff1"/>
              <w:spacing w:before="120" w:after="120"/>
              <w:jc w:val="both"/>
              <w:rPr>
                <w:rStyle w:val="markedcontent"/>
                <w:rFonts w:ascii="Garamond" w:eastAsia="Times New Roman" w:hAnsi="Garamond"/>
              </w:rPr>
            </w:pPr>
            <w:r>
              <w:rPr>
                <w:rStyle w:val="markedcontent"/>
                <w:rFonts w:ascii="Garamond" w:eastAsia="Times New Roman" w:hAnsi="Garamond"/>
              </w:rPr>
              <w:t>…</w:t>
            </w:r>
          </w:p>
          <w:p w14:paraId="7262AECA" w14:textId="77777777" w:rsidR="0037516B" w:rsidRDefault="00CF3CD6" w:rsidP="00B00C62">
            <w:pPr>
              <w:spacing w:before="120" w:after="120" w:line="240" w:lineRule="auto"/>
              <w:ind w:firstLine="533"/>
              <w:jc w:val="both"/>
              <w:rPr>
                <w:rStyle w:val="markedcontent"/>
                <w:rFonts w:ascii="Garamond" w:eastAsia="Times New Roman" w:hAnsi="Garamond"/>
              </w:rPr>
            </w:pPr>
            <w:r>
              <w:rPr>
                <w:rStyle w:val="markedcontent"/>
                <w:rFonts w:ascii="Garamond" w:eastAsia="Times New Roman" w:hAnsi="Garamond"/>
              </w:rPr>
              <w:t xml:space="preserve">При предоставлении комитентом информации о показателях счетов-фактур показатель </w:t>
            </w:r>
            <w:r>
              <w:rPr>
                <w:rStyle w:val="markedcontent"/>
                <w:rFonts w:ascii="Garamond" w:eastAsia="Times New Roman" w:hAnsi="Garamond"/>
              </w:rPr>
              <w:object w:dxaOrig="560" w:dyaOrig="380" w14:anchorId="4D22072C">
                <v:shape id="_x0000_i1138" type="#_x0000_t75" style="width:29.2pt;height:19.7pt" o:ole="">
                  <v:imagedata r:id="rId8" o:title=""/>
                </v:shape>
                <o:OLEObject Type="Embed" ProgID="Equation.3" ShapeID="_x0000_i1138" DrawAspect="Content" ObjectID="_1796154628" r:id="rId14"/>
              </w:object>
            </w:r>
            <w:r>
              <w:rPr>
                <w:rStyle w:val="markedcontent"/>
                <w:rFonts w:ascii="Garamond" w:eastAsia="Times New Roman" w:hAnsi="Garamond"/>
              </w:rPr>
              <w:t xml:space="preserve"> определяется равным количеству информационных полей/файлов, соответствующих информации о количестве счетов-фактур, направленных с использованием </w:t>
            </w:r>
            <w:r>
              <w:rPr>
                <w:rStyle w:val="markedcontent"/>
                <w:rFonts w:ascii="Garamond" w:eastAsia="Times New Roman" w:hAnsi="Garamond"/>
                <w:highlight w:val="yellow"/>
              </w:rPr>
              <w:t>личного кабинета «Формы ЦФР»</w:t>
            </w:r>
            <w:r>
              <w:rPr>
                <w:rStyle w:val="markedcontent"/>
                <w:rFonts w:ascii="Garamond" w:eastAsia="Times New Roman" w:hAnsi="Garamond"/>
              </w:rPr>
              <w:t xml:space="preserve"> от комитента в некорректном формате и (или) с некорректными данными и не принятых ЦФР в соответствии с положениями настоящего Регламента.</w:t>
            </w:r>
          </w:p>
        </w:tc>
      </w:tr>
    </w:tbl>
    <w:p w14:paraId="63041010" w14:textId="77777777" w:rsidR="0037516B" w:rsidRDefault="00375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3489E" w14:textId="77777777" w:rsidR="00B00C62" w:rsidRDefault="00B00C62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</w:p>
    <w:p w14:paraId="6112EAF3" w14:textId="797A6576" w:rsidR="0037516B" w:rsidRDefault="00CF3CD6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Предложения по изменениям и дополнениям в СОГЛАШЕНИЕ О ПРИМЕНЕНИИ ЭЛЕКТРОННОЙ ПОДПИСИ В ТОРГОВОЙ СИСТЕМЕ ОПТОВОГО РЫНКА (Приложение № Д 7 к Договору о присоединении к торговой системе оптового рынка)</w:t>
      </w:r>
    </w:p>
    <w:p w14:paraId="2DCC5FAB" w14:textId="77777777" w:rsidR="0037516B" w:rsidRDefault="0037516B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</w:p>
    <w:p w14:paraId="147EF279" w14:textId="77777777" w:rsidR="0037516B" w:rsidRDefault="00CF3CD6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Действующая редакция </w:t>
      </w:r>
      <w:r>
        <w:rPr>
          <w:rFonts w:ascii="Garamond" w:hAnsi="Garamond"/>
          <w:b/>
          <w:bCs/>
        </w:rPr>
        <w:t>приложения 2 к Правилам ЭДО СЭД КО:</w:t>
      </w:r>
    </w:p>
    <w:p w14:paraId="6528CD25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5588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413"/>
        <w:gridCol w:w="2835"/>
        <w:gridCol w:w="1417"/>
        <w:gridCol w:w="709"/>
        <w:gridCol w:w="850"/>
        <w:gridCol w:w="709"/>
        <w:gridCol w:w="1320"/>
        <w:gridCol w:w="948"/>
        <w:gridCol w:w="850"/>
        <w:gridCol w:w="1516"/>
        <w:gridCol w:w="1276"/>
        <w:gridCol w:w="867"/>
        <w:gridCol w:w="878"/>
      </w:tblGrid>
      <w:tr w:rsidR="0037516B" w14:paraId="3C0E97AC" w14:textId="77777777">
        <w:trPr>
          <w:trHeight w:val="1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952DF54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Код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B4E800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D9205D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5F835D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E3686CB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CDE0619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C9C935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CE766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4A0636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811F2B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398DB8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 для отображения и изготовления бумажных копий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A299DD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99CB0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доступа через интерфейс сайта</w:t>
            </w:r>
          </w:p>
        </w:tc>
      </w:tr>
      <w:tr w:rsidR="0037516B" w14:paraId="2E4F42B0" w14:textId="77777777">
        <w:trPr>
          <w:trHeight w:val="9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D69F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PART_CFR_INVOICE_INF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60ED4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Информация о показателях счетов-фактур, выставленных комитентом в адрес ЦФР по договорам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3B16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9CD2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134D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5728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85F8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 xml:space="preserve">электронная почта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5322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0FA6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2EFC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65B2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4014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1C80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7516B" w14:paraId="2B0FD79B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BE368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PART_CFR_INVOICE_SCAN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F862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Копии счетов-фактур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B6D1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644DF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0C5D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81B3C6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DA8C6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электронная почта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48D3E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F5731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4D526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6049A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Adobe Reader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F7A50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D687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9CF11A1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p w14:paraId="37E4096F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p w14:paraId="44ED6774" w14:textId="77777777" w:rsidR="0037516B" w:rsidRDefault="00CF3CD6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Предлагаемая р</w:t>
      </w:r>
      <w:bookmarkStart w:id="2" w:name="_GoBack"/>
      <w:bookmarkEnd w:id="2"/>
      <w:r>
        <w:rPr>
          <w:rFonts w:ascii="Garamond" w:hAnsi="Garamond"/>
          <w:b/>
          <w:bCs/>
        </w:rPr>
        <w:t>едакция приложения 2 к Правилам ЭДО СЭД КО:</w:t>
      </w:r>
    </w:p>
    <w:p w14:paraId="62A69F56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5588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413"/>
        <w:gridCol w:w="2835"/>
        <w:gridCol w:w="1417"/>
        <w:gridCol w:w="709"/>
        <w:gridCol w:w="850"/>
        <w:gridCol w:w="709"/>
        <w:gridCol w:w="1320"/>
        <w:gridCol w:w="948"/>
        <w:gridCol w:w="850"/>
        <w:gridCol w:w="1516"/>
        <w:gridCol w:w="1276"/>
        <w:gridCol w:w="867"/>
        <w:gridCol w:w="878"/>
      </w:tblGrid>
      <w:tr w:rsidR="0037516B" w14:paraId="6A3D4D6F" w14:textId="77777777">
        <w:trPr>
          <w:trHeight w:val="1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D3B8A0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Код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02BC619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A5BA1D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85BCEF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52036E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FE7B70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7646EE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2FFE0D9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D61B68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8A34C4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BB127D6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 для отображения и изготовления бумажных копий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6522ED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9DC79E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доступа через интерфейс сайта</w:t>
            </w:r>
          </w:p>
        </w:tc>
      </w:tr>
      <w:tr w:rsidR="0037516B" w14:paraId="2E7FF5D0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963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PART_CFR_INVOICE_INF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F44E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Информация о показателях счетов-фактур, выставленных комитентом в адрес ЦФР по договорам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2F6A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C7EF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09D74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55A6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8A3DD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WEB-интер-фейс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451A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E469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61804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44EA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A70F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060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516B" w14:paraId="5DEA45A8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5FA09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PART_CFR_INVOICE_SCAN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56246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Копии счетов-фактур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05ED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40206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E93CB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08B71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4360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WEB-интер-фейс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AB55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BA6F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9236B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8E4A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Adobe Reader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7928BA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F50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7F3923" w14:textId="77777777" w:rsidR="0037516B" w:rsidRDefault="0037516B">
      <w:pPr>
        <w:spacing w:after="0" w:line="240" w:lineRule="auto"/>
        <w:rPr>
          <w:rFonts w:ascii="Garamond" w:hAnsi="Garamond"/>
          <w:b/>
        </w:rPr>
      </w:pPr>
    </w:p>
    <w:p w14:paraId="68AEAB6C" w14:textId="77777777" w:rsidR="00B00C62" w:rsidRDefault="00B00C62" w:rsidP="00243493">
      <w:pPr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</w:p>
    <w:p w14:paraId="0293C1B1" w14:textId="77777777" w:rsidR="00B00C62" w:rsidRDefault="00B00C62" w:rsidP="00243493">
      <w:pPr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</w:p>
    <w:p w14:paraId="4EBFDE43" w14:textId="0FF34466" w:rsidR="0037516B" w:rsidRDefault="00701952" w:rsidP="00243493">
      <w:pPr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Приложение № 5.6.2</w:t>
      </w:r>
    </w:p>
    <w:p w14:paraId="31BE9592" w14:textId="77777777" w:rsidR="00701952" w:rsidRDefault="00701952" w:rsidP="00243493">
      <w:pPr>
        <w:spacing w:after="0" w:line="240" w:lineRule="auto"/>
        <w:jc w:val="right"/>
        <w:rPr>
          <w:rFonts w:ascii="Garamond" w:hAnsi="Garamond"/>
          <w:b/>
        </w:rPr>
      </w:pPr>
    </w:p>
    <w:p w14:paraId="777CC4B9" w14:textId="77777777" w:rsidR="00701952" w:rsidRDefault="00701952" w:rsidP="0070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Garamond"/>
          <w:bCs/>
          <w:sz w:val="24"/>
          <w:szCs w:val="24"/>
          <w:lang w:eastAsia="ru-RU"/>
        </w:rPr>
      </w:pPr>
      <w:r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Дата вступления в силу: </w:t>
      </w:r>
      <w:r>
        <w:rPr>
          <w:rFonts w:ascii="Garamond" w:eastAsia="Times New Roman" w:hAnsi="Garamond" w:cs="Garamond"/>
          <w:bCs/>
          <w:sz w:val="24"/>
          <w:szCs w:val="24"/>
          <w:lang w:eastAsia="ru-RU"/>
        </w:rPr>
        <w:t>1 февраля 2025 года.</w:t>
      </w:r>
    </w:p>
    <w:p w14:paraId="0893E060" w14:textId="77777777" w:rsidR="00701952" w:rsidRDefault="00701952" w:rsidP="00243493">
      <w:pPr>
        <w:spacing w:after="0" w:line="240" w:lineRule="auto"/>
        <w:jc w:val="right"/>
        <w:rPr>
          <w:rFonts w:ascii="Garamond" w:hAnsi="Garamond"/>
          <w:b/>
        </w:rPr>
      </w:pPr>
    </w:p>
    <w:p w14:paraId="2C137D65" w14:textId="77777777" w:rsidR="0037516B" w:rsidRDefault="00CF3CD6" w:rsidP="00701952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Действующая редакция с учетом изменений, принятых </w:t>
      </w:r>
      <w:r w:rsidR="00701952">
        <w:rPr>
          <w:rFonts w:ascii="Garamond" w:hAnsi="Garamond"/>
          <w:b/>
        </w:rPr>
        <w:t>в приложении 5.6.</w:t>
      </w:r>
      <w:r w:rsidR="00422450">
        <w:rPr>
          <w:rFonts w:ascii="Garamond" w:hAnsi="Garamond"/>
          <w:b/>
        </w:rPr>
        <w:t>1</w:t>
      </w:r>
      <w:r>
        <w:rPr>
          <w:rFonts w:ascii="Garamond" w:hAnsi="Garamond"/>
          <w:b/>
          <w:bCs/>
        </w:rPr>
        <w:t>:</w:t>
      </w:r>
    </w:p>
    <w:p w14:paraId="02BE6037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5588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413"/>
        <w:gridCol w:w="2835"/>
        <w:gridCol w:w="1417"/>
        <w:gridCol w:w="709"/>
        <w:gridCol w:w="850"/>
        <w:gridCol w:w="709"/>
        <w:gridCol w:w="1320"/>
        <w:gridCol w:w="948"/>
        <w:gridCol w:w="850"/>
        <w:gridCol w:w="1516"/>
        <w:gridCol w:w="1276"/>
        <w:gridCol w:w="867"/>
        <w:gridCol w:w="878"/>
      </w:tblGrid>
      <w:tr w:rsidR="0037516B" w14:paraId="27C0D21A" w14:textId="77777777">
        <w:trPr>
          <w:trHeight w:val="1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C7DCD4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Код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1384E6B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8254FD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A75A7D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EB441F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45455D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26CCA6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29CBF76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269CBA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FB61EC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8C7AE27" w14:textId="77777777" w:rsidR="0037516B" w:rsidRDefault="007019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43493">
              <w:rPr>
                <w:rFonts w:ascii="Arial" w:eastAsia="Batang" w:hAnsi="Arial" w:cs="Arial"/>
                <w:sz w:val="18"/>
                <w:szCs w:val="18"/>
                <w:lang w:eastAsia="ko-KR"/>
              </w:rPr>
              <w:t>Адрес</w:t>
            </w:r>
            <w:r w:rsidRPr="00701952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243493">
              <w:rPr>
                <w:rFonts w:ascii="Arial" w:eastAsia="Batang" w:hAnsi="Arial" w:cs="Arial"/>
                <w:sz w:val="18"/>
                <w:szCs w:val="18"/>
                <w:lang w:eastAsia="ko-KR"/>
              </w:rPr>
              <w:t>электронной почты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7103A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DA616A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доступа через интерфейс сайта</w:t>
            </w:r>
          </w:p>
        </w:tc>
      </w:tr>
      <w:tr w:rsidR="0037516B" w14:paraId="6C06B6EF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8EE76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PART_CFR_INVOICE_INF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0F57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Информация о показателях счетов-фактур, выставленных комитентом в адрес ЦФР по договорам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6A75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E497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4143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7991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8891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WEB-интер-фейс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5FA4E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6D7B6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E432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1EC94" w14:textId="77777777" w:rsidR="0037516B" w:rsidRPr="00701952" w:rsidRDefault="00701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3493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invoice-cfr@atsenergo.ru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DCE5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07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516B" w14:paraId="106BDED3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4F29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PART_CFR_INVOICE_SCAN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CAB1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Копии счетов-фактур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C1EFE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DD25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FBF654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5C55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15A3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WEB-интер-фейс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C01E7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5CC31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B64F9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7E05F" w14:textId="77777777" w:rsidR="0037516B" w:rsidRPr="00701952" w:rsidRDefault="007019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243493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  <w:t>invoice-cfr@atsenergo.ru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075CC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F877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5500638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p w14:paraId="3A0B4359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p w14:paraId="5D237F3A" w14:textId="77777777" w:rsidR="0037516B" w:rsidRDefault="00CF3CD6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Предлагаемая редакция приложения 2 к Правилам ЭДО СЭД КО:</w:t>
      </w:r>
    </w:p>
    <w:p w14:paraId="35D4C25E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5588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413"/>
        <w:gridCol w:w="2835"/>
        <w:gridCol w:w="1417"/>
        <w:gridCol w:w="709"/>
        <w:gridCol w:w="850"/>
        <w:gridCol w:w="709"/>
        <w:gridCol w:w="1320"/>
        <w:gridCol w:w="948"/>
        <w:gridCol w:w="850"/>
        <w:gridCol w:w="1516"/>
        <w:gridCol w:w="1276"/>
        <w:gridCol w:w="867"/>
        <w:gridCol w:w="878"/>
      </w:tblGrid>
      <w:tr w:rsidR="0037516B" w14:paraId="41B0875F" w14:textId="77777777">
        <w:trPr>
          <w:trHeight w:val="1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31520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Код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2409F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Наименование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29F308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Основание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014B4A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636B2B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Отправитель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2133E2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Получатель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744C0A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Способ доставки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3A08A8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0EE900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B17CDC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3E53D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493">
              <w:rPr>
                <w:rFonts w:ascii="Arial" w:eastAsia="Batang" w:hAnsi="Arial" w:cs="Arial"/>
                <w:sz w:val="18"/>
                <w:szCs w:val="18"/>
                <w:lang w:eastAsia="ko-KR"/>
              </w:rPr>
              <w:t>Адрес</w:t>
            </w:r>
            <w:r w:rsidRPr="00701952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243493">
              <w:rPr>
                <w:rFonts w:ascii="Arial" w:eastAsia="Batang" w:hAnsi="Arial" w:cs="Arial"/>
                <w:sz w:val="18"/>
                <w:szCs w:val="18"/>
                <w:lang w:eastAsia="ko-KR"/>
              </w:rPr>
              <w:t>электронной почты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1222A9B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Срок хранения в архиве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6C9403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Срок доступа через интерфейс сайта</w:t>
            </w:r>
          </w:p>
        </w:tc>
      </w:tr>
      <w:tr w:rsidR="0037516B" w14:paraId="583E9F39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6184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PART_CFR_INVOICE_INF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D0B0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Информация о показателях счетов-фактур, выставленных комитентом в адрес ЦФР по договорам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D7CE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ECECC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445FBD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19C08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15D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WEB-интер-фейс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0BD8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F4D4E9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8F72B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4EDE4D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B2F3D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821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516B" w14:paraId="5A448EC9" w14:textId="77777777">
        <w:trPr>
          <w:trHeight w:val="50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F214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PART_CFR_INVOICE_SCAN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B826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Копии счетов-фактур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63722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Регламент № 16, раздел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9DD00C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pdf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314C8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10DE0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ЦФР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E46AF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WEB-интер-фейс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A6829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ADCC3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40605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1.3.6.1.4.1.18545.1.2.1.8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7DE35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A482C7" w14:textId="77777777" w:rsidR="0037516B" w:rsidRDefault="00CF3C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 лет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8F2" w14:textId="77777777" w:rsidR="0037516B" w:rsidRDefault="00375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3268AD1" w14:textId="77777777" w:rsidR="0037516B" w:rsidRDefault="0037516B">
      <w:pPr>
        <w:spacing w:after="0" w:line="240" w:lineRule="auto"/>
        <w:rPr>
          <w:rFonts w:ascii="Garamond" w:hAnsi="Garamond"/>
          <w:b/>
          <w:bCs/>
        </w:rPr>
      </w:pPr>
    </w:p>
    <w:sectPr w:rsidR="0037516B" w:rsidSect="00B00C62">
      <w:pgSz w:w="16838" w:h="11906" w:orient="landscape" w:code="9"/>
      <w:pgMar w:top="1134" w:right="851" w:bottom="964" w:left="130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85DD" w14:textId="77777777" w:rsidR="00CF3CD6" w:rsidRDefault="00CF3CD6">
      <w:pPr>
        <w:spacing w:after="0" w:line="240" w:lineRule="auto"/>
      </w:pPr>
      <w:r>
        <w:separator/>
      </w:r>
    </w:p>
  </w:endnote>
  <w:endnote w:type="continuationSeparator" w:id="0">
    <w:p w14:paraId="534B85DF" w14:textId="77777777" w:rsidR="00CF3CD6" w:rsidRDefault="00CF3CD6">
      <w:pPr>
        <w:spacing w:after="0" w:line="240" w:lineRule="auto"/>
      </w:pPr>
      <w:r>
        <w:continuationSeparator/>
      </w:r>
    </w:p>
  </w:endnote>
  <w:endnote w:type="continuationNotice" w:id="1">
    <w:p w14:paraId="3CDE0EDE" w14:textId="77777777" w:rsidR="00CF3CD6" w:rsidRDefault="00CF3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7271" w14:textId="77777777" w:rsidR="00CF3CD6" w:rsidRDefault="00CF3CD6">
      <w:pPr>
        <w:spacing w:after="0" w:line="240" w:lineRule="auto"/>
      </w:pPr>
      <w:r>
        <w:separator/>
      </w:r>
    </w:p>
  </w:footnote>
  <w:footnote w:type="continuationSeparator" w:id="0">
    <w:p w14:paraId="1903710D" w14:textId="77777777" w:rsidR="00CF3CD6" w:rsidRDefault="00CF3CD6">
      <w:pPr>
        <w:spacing w:after="0" w:line="240" w:lineRule="auto"/>
      </w:pPr>
      <w:r>
        <w:continuationSeparator/>
      </w:r>
    </w:p>
  </w:footnote>
  <w:footnote w:type="continuationNotice" w:id="1">
    <w:p w14:paraId="1B114758" w14:textId="77777777" w:rsidR="00CF3CD6" w:rsidRDefault="00CF3C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350"/>
    <w:multiLevelType w:val="hybridMultilevel"/>
    <w:tmpl w:val="53F43D10"/>
    <w:lvl w:ilvl="0" w:tplc="AA0074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BDF"/>
    <w:multiLevelType w:val="hybridMultilevel"/>
    <w:tmpl w:val="C67AD014"/>
    <w:lvl w:ilvl="0" w:tplc="D9C2AB22">
      <w:start w:val="1"/>
      <w:numFmt w:val="bullet"/>
      <w:lvlText w:val="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05326DD2"/>
    <w:multiLevelType w:val="hybridMultilevel"/>
    <w:tmpl w:val="C80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2829"/>
    <w:multiLevelType w:val="multilevel"/>
    <w:tmpl w:val="1A3CE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Courier New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Garamond" w:hAnsi="Garamond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Garamond" w:hAnsi="Garamond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Garamond" w:hAnsi="Garamond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Garamond" w:hAnsi="Garamond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Garamond" w:hAnsi="Garamond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Garamond" w:hAnsi="Garamond" w:cs="Courier New" w:hint="default"/>
      </w:rPr>
    </w:lvl>
  </w:abstractNum>
  <w:abstractNum w:abstractNumId="4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E61F8"/>
    <w:multiLevelType w:val="hybridMultilevel"/>
    <w:tmpl w:val="40568A0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0813640C"/>
    <w:multiLevelType w:val="hybridMultilevel"/>
    <w:tmpl w:val="CA024320"/>
    <w:lvl w:ilvl="0" w:tplc="FFFFFFFF">
      <w:start w:val="2"/>
      <w:numFmt w:val="bullet"/>
      <w:lvlText w:val="−"/>
      <w:lvlJc w:val="left"/>
      <w:pPr>
        <w:ind w:left="1287" w:hanging="360"/>
      </w:pPr>
      <w:rPr>
        <w:rFonts w:ascii="Garamond" w:hAnsi="Garamond" w:cs="Wingdings" w:hint="default"/>
        <w:b w:val="0"/>
        <w:i w:val="0"/>
        <w:sz w:val="28"/>
        <w:szCs w:val="28"/>
        <w:u w:val="none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297B6D"/>
    <w:multiLevelType w:val="hybridMultilevel"/>
    <w:tmpl w:val="96FA6262"/>
    <w:lvl w:ilvl="0" w:tplc="4BF09996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3F3295"/>
    <w:multiLevelType w:val="hybridMultilevel"/>
    <w:tmpl w:val="6B0C2452"/>
    <w:lvl w:ilvl="0" w:tplc="11B4820E">
      <w:start w:val="10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F3C95"/>
    <w:multiLevelType w:val="multilevel"/>
    <w:tmpl w:val="2AFC5B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6F680C"/>
    <w:multiLevelType w:val="multilevel"/>
    <w:tmpl w:val="E97251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E6E255D"/>
    <w:multiLevelType w:val="hybridMultilevel"/>
    <w:tmpl w:val="F6D62B7A"/>
    <w:lvl w:ilvl="0" w:tplc="DAF47CDA">
      <w:start w:val="1"/>
      <w:numFmt w:val="decimal"/>
      <w:pStyle w:val="a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0B2C83"/>
    <w:multiLevelType w:val="hybridMultilevel"/>
    <w:tmpl w:val="B9B02CBC"/>
    <w:lvl w:ilvl="0" w:tplc="4BF09996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0F05"/>
    <w:multiLevelType w:val="hybridMultilevel"/>
    <w:tmpl w:val="53F43D10"/>
    <w:lvl w:ilvl="0" w:tplc="AA0074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59ED"/>
    <w:multiLevelType w:val="hybridMultilevel"/>
    <w:tmpl w:val="5D5E6886"/>
    <w:lvl w:ilvl="0" w:tplc="4BF09996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E25E26"/>
    <w:multiLevelType w:val="hybridMultilevel"/>
    <w:tmpl w:val="3012890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7871060"/>
    <w:multiLevelType w:val="multilevel"/>
    <w:tmpl w:val="BFDCD3AA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831" w:hanging="405"/>
      </w:pPr>
      <w:rPr>
        <w:rFonts w:cs="Times New Roman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7D84650"/>
    <w:multiLevelType w:val="hybridMultilevel"/>
    <w:tmpl w:val="C952F43A"/>
    <w:lvl w:ilvl="0" w:tplc="0486C83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871FC"/>
    <w:multiLevelType w:val="hybridMultilevel"/>
    <w:tmpl w:val="C8F863BA"/>
    <w:lvl w:ilvl="0" w:tplc="4BF09996">
      <w:start w:val="1"/>
      <w:numFmt w:val="bullet"/>
      <w:lvlText w:val="−"/>
      <w:lvlJc w:val="left"/>
      <w:pPr>
        <w:ind w:left="1281" w:hanging="360"/>
      </w:pPr>
      <w:rPr>
        <w:rFonts w:ascii="Times New Roman" w:eastAsia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9" w15:restartNumberingAfterBreak="0">
    <w:nsid w:val="2F6E3A07"/>
    <w:multiLevelType w:val="hybridMultilevel"/>
    <w:tmpl w:val="97FE6A90"/>
    <w:lvl w:ilvl="0" w:tplc="11B4820E">
      <w:start w:val="10"/>
      <w:numFmt w:val="bullet"/>
      <w:lvlText w:val="–"/>
      <w:lvlJc w:val="left"/>
      <w:pPr>
        <w:ind w:left="770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1153E6E"/>
    <w:multiLevelType w:val="multilevel"/>
    <w:tmpl w:val="A48E88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03614C"/>
    <w:multiLevelType w:val="multilevel"/>
    <w:tmpl w:val="63D44BE6"/>
    <w:lvl w:ilvl="0">
      <w:start w:val="1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hint="default"/>
      </w:rPr>
    </w:lvl>
  </w:abstractNum>
  <w:abstractNum w:abstractNumId="22" w15:restartNumberingAfterBreak="0">
    <w:nsid w:val="3B166F18"/>
    <w:multiLevelType w:val="hybridMultilevel"/>
    <w:tmpl w:val="53C04752"/>
    <w:lvl w:ilvl="0" w:tplc="699CF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97C57"/>
    <w:multiLevelType w:val="multilevel"/>
    <w:tmpl w:val="8C32E520"/>
    <w:lvl w:ilvl="0">
      <w:start w:val="1"/>
      <w:numFmt w:val="none"/>
      <w:lvlText w:val="1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6.1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6.1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4" w15:restartNumberingAfterBreak="0">
    <w:nsid w:val="3E8C3FAF"/>
    <w:multiLevelType w:val="hybridMultilevel"/>
    <w:tmpl w:val="C1161A5C"/>
    <w:lvl w:ilvl="0" w:tplc="CC94D838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1275"/>
    <w:multiLevelType w:val="hybridMultilevel"/>
    <w:tmpl w:val="71F093E4"/>
    <w:lvl w:ilvl="0" w:tplc="041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421B47C5"/>
    <w:multiLevelType w:val="hybridMultilevel"/>
    <w:tmpl w:val="26CA5796"/>
    <w:lvl w:ilvl="0" w:tplc="85DCDAA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72607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6EF7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084A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8823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8866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8C59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F4BD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F669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997E3A"/>
    <w:multiLevelType w:val="multilevel"/>
    <w:tmpl w:val="5E2A091A"/>
    <w:lvl w:ilvl="0">
      <w:start w:val="1"/>
      <w:numFmt w:val="none"/>
      <w:lvlText w:val="1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6.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6.1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8" w15:restartNumberingAfterBreak="0">
    <w:nsid w:val="4E0600D4"/>
    <w:multiLevelType w:val="hybridMultilevel"/>
    <w:tmpl w:val="C91849BC"/>
    <w:lvl w:ilvl="0" w:tplc="F122473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18F2DEE"/>
    <w:multiLevelType w:val="multilevel"/>
    <w:tmpl w:val="84229F72"/>
    <w:lvl w:ilvl="0">
      <w:start w:val="1"/>
      <w:numFmt w:val="decimal"/>
      <w:lvlText w:val="%1."/>
      <w:lvlJc w:val="left"/>
      <w:pPr>
        <w:ind w:left="555" w:hanging="555"/>
      </w:pPr>
      <w:rPr>
        <w:rFonts w:eastAsia="MS Mincho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Courier New" w:hint="default"/>
      </w:rPr>
    </w:lvl>
  </w:abstractNum>
  <w:abstractNum w:abstractNumId="30" w15:restartNumberingAfterBreak="0">
    <w:nsid w:val="552E1B04"/>
    <w:multiLevelType w:val="hybridMultilevel"/>
    <w:tmpl w:val="012C59CA"/>
    <w:lvl w:ilvl="0" w:tplc="220C711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556C5247"/>
    <w:multiLevelType w:val="hybridMultilevel"/>
    <w:tmpl w:val="7570A4E4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2" w15:restartNumberingAfterBreak="0">
    <w:nsid w:val="55DC0E5E"/>
    <w:multiLevelType w:val="hybridMultilevel"/>
    <w:tmpl w:val="BC7A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B7926"/>
    <w:multiLevelType w:val="multilevel"/>
    <w:tmpl w:val="056C6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5" w15:restartNumberingAfterBreak="0">
    <w:nsid w:val="622B68F5"/>
    <w:multiLevelType w:val="hybridMultilevel"/>
    <w:tmpl w:val="78222CE2"/>
    <w:lvl w:ilvl="0" w:tplc="4BF09996">
      <w:start w:val="1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53D1381"/>
    <w:multiLevelType w:val="multilevel"/>
    <w:tmpl w:val="C8EA463E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B543C1A"/>
    <w:multiLevelType w:val="hybridMultilevel"/>
    <w:tmpl w:val="EC16CFE8"/>
    <w:lvl w:ilvl="0" w:tplc="F0E875D0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14A8CDC6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AF60A43C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634491A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D73A60A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D6A889EC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8E920D60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7C56701C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58460D30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8" w15:restartNumberingAfterBreak="0">
    <w:nsid w:val="6D2A34D4"/>
    <w:multiLevelType w:val="hybridMultilevel"/>
    <w:tmpl w:val="C86A3A60"/>
    <w:lvl w:ilvl="0" w:tplc="D6D41A80">
      <w:start w:val="1"/>
      <w:numFmt w:val="decimal"/>
      <w:lvlText w:val="%1)"/>
      <w:lvlJc w:val="left"/>
      <w:pPr>
        <w:tabs>
          <w:tab w:val="num" w:pos="1337"/>
        </w:tabs>
        <w:ind w:left="133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39" w15:restartNumberingAfterBreak="0">
    <w:nsid w:val="6D3266DD"/>
    <w:multiLevelType w:val="hybridMultilevel"/>
    <w:tmpl w:val="E74E2A00"/>
    <w:lvl w:ilvl="0" w:tplc="11B4820E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452129"/>
    <w:multiLevelType w:val="hybridMultilevel"/>
    <w:tmpl w:val="2D14A0EC"/>
    <w:lvl w:ilvl="0" w:tplc="B3AA27AA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B545C"/>
    <w:multiLevelType w:val="multilevel"/>
    <w:tmpl w:val="1090A3FC"/>
    <w:lvl w:ilvl="0">
      <w:start w:val="1"/>
      <w:numFmt w:val="none"/>
      <w:lvlText w:val="1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6.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6.4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2" w15:restartNumberingAfterBreak="0">
    <w:nsid w:val="72770E27"/>
    <w:multiLevelType w:val="multilevel"/>
    <w:tmpl w:val="ECDC5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6A5"/>
    <w:multiLevelType w:val="multilevel"/>
    <w:tmpl w:val="73CE1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AE27EB"/>
    <w:multiLevelType w:val="multilevel"/>
    <w:tmpl w:val="20744E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FFB18AA"/>
    <w:multiLevelType w:val="hybridMultilevel"/>
    <w:tmpl w:val="B16E34CA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4"/>
  </w:num>
  <w:num w:numId="4">
    <w:abstractNumId w:val="31"/>
  </w:num>
  <w:num w:numId="5">
    <w:abstractNumId w:val="15"/>
  </w:num>
  <w:num w:numId="6">
    <w:abstractNumId w:val="39"/>
  </w:num>
  <w:num w:numId="7">
    <w:abstractNumId w:val="26"/>
  </w:num>
  <w:num w:numId="8">
    <w:abstractNumId w:val="6"/>
  </w:num>
  <w:num w:numId="9">
    <w:abstractNumId w:val="2"/>
  </w:num>
  <w:num w:numId="10">
    <w:abstractNumId w:val="16"/>
  </w:num>
  <w:num w:numId="11">
    <w:abstractNumId w:val="22"/>
  </w:num>
  <w:num w:numId="12">
    <w:abstractNumId w:val="9"/>
  </w:num>
  <w:num w:numId="13">
    <w:abstractNumId w:val="12"/>
  </w:num>
  <w:num w:numId="14">
    <w:abstractNumId w:val="42"/>
  </w:num>
  <w:num w:numId="15">
    <w:abstractNumId w:val="7"/>
  </w:num>
  <w:num w:numId="16">
    <w:abstractNumId w:val="35"/>
  </w:num>
  <w:num w:numId="17">
    <w:abstractNumId w:val="20"/>
  </w:num>
  <w:num w:numId="18">
    <w:abstractNumId w:val="14"/>
  </w:num>
  <w:num w:numId="19">
    <w:abstractNumId w:val="21"/>
  </w:num>
  <w:num w:numId="20">
    <w:abstractNumId w:val="37"/>
  </w:num>
  <w:num w:numId="21">
    <w:abstractNumId w:val="30"/>
  </w:num>
  <w:num w:numId="22">
    <w:abstractNumId w:val="0"/>
  </w:num>
  <w:num w:numId="23">
    <w:abstractNumId w:val="13"/>
  </w:num>
  <w:num w:numId="24">
    <w:abstractNumId w:val="43"/>
  </w:num>
  <w:num w:numId="25">
    <w:abstractNumId w:val="32"/>
  </w:num>
  <w:num w:numId="26">
    <w:abstractNumId w:val="5"/>
  </w:num>
  <w:num w:numId="27">
    <w:abstractNumId w:val="28"/>
  </w:num>
  <w:num w:numId="28">
    <w:abstractNumId w:val="8"/>
  </w:num>
  <w:num w:numId="29">
    <w:abstractNumId w:val="19"/>
  </w:num>
  <w:num w:numId="30">
    <w:abstractNumId w:val="33"/>
  </w:num>
  <w:num w:numId="31">
    <w:abstractNumId w:val="25"/>
  </w:num>
  <w:num w:numId="32">
    <w:abstractNumId w:val="23"/>
  </w:num>
  <w:num w:numId="33">
    <w:abstractNumId w:val="41"/>
  </w:num>
  <w:num w:numId="34">
    <w:abstractNumId w:val="27"/>
  </w:num>
  <w:num w:numId="35">
    <w:abstractNumId w:val="45"/>
  </w:num>
  <w:num w:numId="36">
    <w:abstractNumId w:val="38"/>
  </w:num>
  <w:num w:numId="37">
    <w:abstractNumId w:val="1"/>
  </w:num>
  <w:num w:numId="38">
    <w:abstractNumId w:val="36"/>
  </w:num>
  <w:num w:numId="39">
    <w:abstractNumId w:val="3"/>
  </w:num>
  <w:num w:numId="40">
    <w:abstractNumId w:val="10"/>
  </w:num>
  <w:num w:numId="41">
    <w:abstractNumId w:val="44"/>
  </w:num>
  <w:num w:numId="42">
    <w:abstractNumId w:val="29"/>
  </w:num>
  <w:num w:numId="43">
    <w:abstractNumId w:val="18"/>
  </w:num>
  <w:num w:numId="44">
    <w:abstractNumId w:val="40"/>
  </w:num>
  <w:num w:numId="45">
    <w:abstractNumId w:val="17"/>
  </w:num>
  <w:num w:numId="4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6B"/>
    <w:rsid w:val="00243493"/>
    <w:rsid w:val="00272141"/>
    <w:rsid w:val="0037516B"/>
    <w:rsid w:val="00422450"/>
    <w:rsid w:val="00511F14"/>
    <w:rsid w:val="00701952"/>
    <w:rsid w:val="008731CB"/>
    <w:rsid w:val="00B00C62"/>
    <w:rsid w:val="00C02C53"/>
    <w:rsid w:val="00CF3CD6"/>
    <w:rsid w:val="00FA4F46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B4190D"/>
  <w15:chartTrackingRefBased/>
  <w15:docId w15:val="{24D91ED5-55B6-4BFF-B08D-9F132B41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level2 hdg,111,Section Heading"/>
    <w:basedOn w:val="a0"/>
    <w:link w:val="10"/>
    <w:autoRedefine/>
    <w:qFormat/>
    <w:pPr>
      <w:keepNext/>
      <w:tabs>
        <w:tab w:val="num" w:pos="0"/>
      </w:tabs>
      <w:spacing w:before="240" w:after="240" w:line="240" w:lineRule="auto"/>
      <w:jc w:val="both"/>
      <w:outlineLvl w:val="0"/>
    </w:pPr>
    <w:rPr>
      <w:rFonts w:ascii="Garamond" w:eastAsia="Times New Roman" w:hAnsi="Garamond"/>
      <w:b/>
      <w:bCs/>
      <w:caps/>
      <w:color w:val="000000"/>
      <w:kern w:val="28"/>
      <w:sz w:val="24"/>
      <w:szCs w:val="24"/>
      <w:lang w:val="x-none" w:eastAsia="ru-RU"/>
    </w:rPr>
  </w:style>
  <w:style w:type="paragraph" w:styleId="2">
    <w:name w:val="heading 2"/>
    <w:aliases w:val="h2,h21,Заголовок пункта (1.1),5,Reset numbering,222"/>
    <w:basedOn w:val="a0"/>
    <w:next w:val="a0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3">
    <w:name w:val="heading 3"/>
    <w:aliases w:val="H3,Заголовок подпукта (1.1.1),Level 1 - 1,o"/>
    <w:basedOn w:val="a0"/>
    <w:next w:val="a0"/>
    <w:link w:val="30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0">
    <w:name w:val="heading 4"/>
    <w:aliases w:val="H4,H41,Sub-Minor,Level 2 - a"/>
    <w:basedOn w:val="a0"/>
    <w:next w:val="a0"/>
    <w:link w:val="41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aliases w:val="h5,h51,H5,H51,h52,test,Block Label,Level 3 - i"/>
    <w:basedOn w:val="a0"/>
    <w:next w:val="a1"/>
    <w:link w:val="50"/>
    <w:qFormat/>
    <w:pPr>
      <w:tabs>
        <w:tab w:val="num" w:pos="360"/>
      </w:tabs>
      <w:suppressAutoHyphens/>
      <w:spacing w:before="120" w:after="120" w:line="240" w:lineRule="auto"/>
      <w:ind w:left="360" w:hanging="360"/>
      <w:jc w:val="both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6">
    <w:name w:val="heading 6"/>
    <w:aliases w:val="Legal Level 1."/>
    <w:basedOn w:val="a0"/>
    <w:next w:val="5"/>
    <w:link w:val="60"/>
    <w:qFormat/>
    <w:pPr>
      <w:tabs>
        <w:tab w:val="num" w:pos="0"/>
      </w:tabs>
      <w:suppressAutoHyphens/>
      <w:spacing w:before="120" w:after="120" w:line="240" w:lineRule="auto"/>
      <w:jc w:val="both"/>
      <w:outlineLvl w:val="5"/>
    </w:pPr>
    <w:rPr>
      <w:rFonts w:ascii="Times New Roman" w:eastAsia="Times New Roman" w:hAnsi="Times New Roman"/>
      <w:szCs w:val="20"/>
      <w:lang w:eastAsia="ar-SA"/>
    </w:rPr>
  </w:style>
  <w:style w:type="paragraph" w:styleId="7">
    <w:name w:val="heading 7"/>
    <w:aliases w:val="Appendix Header,Legal Level 1.1."/>
    <w:basedOn w:val="a0"/>
    <w:next w:val="a0"/>
    <w:link w:val="70"/>
    <w:qFormat/>
    <w:pPr>
      <w:tabs>
        <w:tab w:val="num" w:pos="0"/>
      </w:tabs>
      <w:suppressAutoHyphens/>
      <w:spacing w:before="120" w:after="240" w:line="240" w:lineRule="auto"/>
      <w:outlineLvl w:val="6"/>
    </w:pPr>
    <w:rPr>
      <w:rFonts w:ascii="Garamond" w:eastAsia="Batang" w:hAnsi="Garamond"/>
      <w:szCs w:val="20"/>
      <w:lang w:eastAsia="ar-SA"/>
    </w:rPr>
  </w:style>
  <w:style w:type="paragraph" w:styleId="8">
    <w:name w:val="heading 8"/>
    <w:aliases w:val="Legal Level 1.1.1."/>
    <w:basedOn w:val="a0"/>
    <w:next w:val="a0"/>
    <w:link w:val="80"/>
    <w:qFormat/>
    <w:pPr>
      <w:tabs>
        <w:tab w:val="num" w:pos="0"/>
      </w:tabs>
      <w:suppressAutoHyphens/>
      <w:spacing w:before="240" w:after="0" w:line="240" w:lineRule="auto"/>
      <w:outlineLvl w:val="7"/>
    </w:pPr>
    <w:rPr>
      <w:rFonts w:ascii="Arial" w:eastAsia="Batang" w:hAnsi="Arial"/>
      <w:i/>
      <w:sz w:val="20"/>
      <w:szCs w:val="20"/>
      <w:lang w:eastAsia="ar-SA"/>
    </w:rPr>
  </w:style>
  <w:style w:type="paragraph" w:styleId="9">
    <w:name w:val="heading 9"/>
    <w:aliases w:val="Legal Level 1.1.1.1."/>
    <w:basedOn w:val="a0"/>
    <w:next w:val="a0"/>
    <w:link w:val="90"/>
    <w:qFormat/>
    <w:pPr>
      <w:tabs>
        <w:tab w:val="num" w:pos="0"/>
      </w:tabs>
      <w:suppressAutoHyphens/>
      <w:spacing w:before="240" w:after="0" w:line="240" w:lineRule="auto"/>
      <w:outlineLvl w:val="8"/>
    </w:pPr>
    <w:rPr>
      <w:rFonts w:ascii="Arial" w:eastAsia="Batang" w:hAnsi="Arial"/>
      <w:i/>
      <w:sz w:val="1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Section Heading Знак"/>
    <w:basedOn w:val="a2"/>
    <w:link w:val="1"/>
    <w:rPr>
      <w:rFonts w:ascii="Garamond" w:eastAsia="Times New Roman" w:hAnsi="Garamond" w:cs="Times New Roman"/>
      <w:b/>
      <w:bCs/>
      <w:caps/>
      <w:color w:val="000000"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2"/>
    <w:link w:val="2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aliases w:val="H3 Знак,Заголовок подпукта (1.1.1) Знак,Level 1 - 1 Знак,o Знак"/>
    <w:basedOn w:val="a2"/>
    <w:link w:val="3"/>
    <w:uiPriority w:val="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1">
    <w:name w:val="Заголовок 4 Знак"/>
    <w:aliases w:val="H4 Знак,H41 Знак,Sub-Minor Знак,Level 2 - a Знак"/>
    <w:basedOn w:val="a2"/>
    <w:link w:val="40"/>
    <w:uiPriority w:val="9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a5">
    <w:name w:val="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ubclauseindent">
    <w:name w:val="subclauseindent"/>
    <w:basedOn w:val="a0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/>
      <w:szCs w:val="20"/>
    </w:rPr>
  </w:style>
  <w:style w:type="character" w:styleId="a6">
    <w:name w:val="Hyperlink"/>
    <w:unhideWhenUsed/>
    <w:rPr>
      <w:color w:val="0000FF"/>
      <w:u w:val="single"/>
    </w:rPr>
  </w:style>
  <w:style w:type="paragraph" w:styleId="a1">
    <w:name w:val="Body Text"/>
    <w:aliases w:val="body text"/>
    <w:basedOn w:val="a0"/>
    <w:link w:val="a7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/>
      <w:szCs w:val="20"/>
      <w:lang w:val="en-GB"/>
    </w:rPr>
  </w:style>
  <w:style w:type="character" w:customStyle="1" w:styleId="a7">
    <w:name w:val="Основной текст Знак"/>
    <w:aliases w:val="body text Знак"/>
    <w:basedOn w:val="a2"/>
    <w:link w:val="a1"/>
    <w:uiPriority w:val="99"/>
    <w:rPr>
      <w:rFonts w:ascii="Garamond" w:eastAsia="Times New Roman" w:hAnsi="Garamond" w:cs="Times New Roman"/>
      <w:szCs w:val="20"/>
      <w:lang w:val="en-GB"/>
    </w:rPr>
  </w:style>
  <w:style w:type="paragraph" w:customStyle="1" w:styleId="subsubclauseindent">
    <w:name w:val="subsubclauseindent"/>
    <w:basedOn w:val="a0"/>
    <w:pPr>
      <w:spacing w:before="120" w:after="120" w:line="240" w:lineRule="auto"/>
      <w:ind w:left="2552"/>
      <w:jc w:val="both"/>
    </w:pPr>
    <w:rPr>
      <w:rFonts w:ascii="Times New Roman" w:eastAsia="Times New Roman" w:hAnsi="Times New Roman"/>
      <w:szCs w:val="20"/>
      <w:lang w:val="en-GB"/>
    </w:rPr>
  </w:style>
  <w:style w:type="paragraph" w:styleId="a8">
    <w:name w:val="Body Text Indent"/>
    <w:basedOn w:val="a0"/>
    <w:link w:val="a9"/>
    <w:uiPriority w:val="99"/>
    <w:unhideWhenUsed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2"/>
    <w:link w:val="a8"/>
    <w:uiPriority w:val="99"/>
    <w:rPr>
      <w:rFonts w:ascii="Calibri" w:eastAsia="Calibri" w:hAnsi="Calibri" w:cs="Times New Roman"/>
      <w:lang w:val="x-none"/>
    </w:rPr>
  </w:style>
  <w:style w:type="paragraph" w:customStyle="1" w:styleId="31">
    <w:name w:val="Основной текст с отступом 31"/>
    <w:basedOn w:val="a0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andbuchtitel">
    <w:name w:val="Handbuchtitel"/>
    <w:basedOn w:val="a0"/>
    <w:pPr>
      <w:spacing w:before="120" w:line="270" w:lineRule="atLeast"/>
    </w:pPr>
    <w:rPr>
      <w:rFonts w:ascii="NewsGoth Dm BT" w:eastAsia="Times New Roman" w:hAnsi="NewsGoth Dm BT"/>
      <w:sz w:val="20"/>
      <w:szCs w:val="20"/>
      <w:lang w:val="de-DE" w:eastAsia="ru-RU"/>
    </w:rPr>
  </w:style>
  <w:style w:type="paragraph" w:styleId="21">
    <w:name w:val="Body Text 2"/>
    <w:basedOn w:val="a0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Pr>
      <w:rFonts w:ascii="Tahoma" w:eastAsia="Calibri" w:hAnsi="Tahoma" w:cs="Tahoma"/>
      <w:sz w:val="16"/>
      <w:szCs w:val="16"/>
    </w:rPr>
  </w:style>
  <w:style w:type="paragraph" w:styleId="ac">
    <w:name w:val="caption"/>
    <w:basedOn w:val="a0"/>
    <w:uiPriority w:val="35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d">
    <w:name w:val="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Title"/>
    <w:basedOn w:val="a0"/>
    <w:link w:val="af"/>
    <w:qFormat/>
    <w:pPr>
      <w:spacing w:before="120" w:after="0" w:line="240" w:lineRule="auto"/>
      <w:jc w:val="center"/>
    </w:pPr>
    <w:rPr>
      <w:rFonts w:ascii="Garamond" w:eastAsia="Times New Roman" w:hAnsi="Garamond"/>
      <w:b/>
      <w:bCs/>
      <w:sz w:val="32"/>
      <w:szCs w:val="24"/>
      <w:lang w:val="x-none" w:eastAsia="x-none"/>
    </w:rPr>
  </w:style>
  <w:style w:type="character" w:customStyle="1" w:styleId="af">
    <w:name w:val="Заголовок Знак"/>
    <w:basedOn w:val="a2"/>
    <w:link w:val="ae"/>
    <w:rPr>
      <w:rFonts w:ascii="Garamond" w:eastAsia="Times New Roman" w:hAnsi="Garamond" w:cs="Times New Roman"/>
      <w:b/>
      <w:bCs/>
      <w:sz w:val="32"/>
      <w:szCs w:val="24"/>
      <w:lang w:val="x-none" w:eastAsia="x-none"/>
    </w:rPr>
  </w:style>
  <w:style w:type="paragraph" w:styleId="32">
    <w:name w:val="Body Text 3"/>
    <w:basedOn w:val="a0"/>
    <w:link w:val="33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List Paragraph"/>
    <w:basedOn w:val="a0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annotation reference"/>
    <w:unhideWhenUsed/>
    <w:rPr>
      <w:sz w:val="16"/>
      <w:szCs w:val="16"/>
    </w:rPr>
  </w:style>
  <w:style w:type="paragraph" w:styleId="af2">
    <w:name w:val="annotation text"/>
    <w:basedOn w:val="a0"/>
    <w:link w:val="af3"/>
    <w:unhideWhenUsed/>
    <w:rPr>
      <w:sz w:val="20"/>
      <w:szCs w:val="20"/>
      <w:lang w:val="x-none"/>
    </w:rPr>
  </w:style>
  <w:style w:type="character" w:customStyle="1" w:styleId="af3">
    <w:name w:val="Текст примечания Знак"/>
    <w:basedOn w:val="a2"/>
    <w:link w:val="af2"/>
    <w:rPr>
      <w:rFonts w:ascii="Calibri" w:eastAsia="Calibri" w:hAnsi="Calibri" w:cs="Times New Roman"/>
      <w:sz w:val="20"/>
      <w:szCs w:val="20"/>
      <w:lang w:val="x-none"/>
    </w:rPr>
  </w:style>
  <w:style w:type="paragraph" w:styleId="af4">
    <w:name w:val="annotation subject"/>
    <w:basedOn w:val="af2"/>
    <w:next w:val="af2"/>
    <w:link w:val="af5"/>
    <w:uiPriority w:val="99"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23">
    <w:name w:val="List Number 2"/>
    <w:basedOn w:val="a0"/>
    <w:uiPriority w:val="99"/>
    <w:pPr>
      <w:keepNext/>
      <w:keepLines/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/>
      <w:szCs w:val="20"/>
    </w:rPr>
  </w:style>
  <w:style w:type="character" w:styleId="af6">
    <w:name w:val="Strong"/>
    <w:uiPriority w:val="99"/>
    <w:qFormat/>
    <w:rPr>
      <w:b/>
      <w:bCs/>
    </w:rPr>
  </w:style>
  <w:style w:type="paragraph" w:styleId="af7">
    <w:name w:val="Normal (Web)"/>
    <w:basedOn w:val="a0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0"/>
    <w:link w:val="af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basedOn w:val="a2"/>
    <w:link w:val="af8"/>
    <w:uiPriority w:val="99"/>
    <w:rPr>
      <w:rFonts w:ascii="Calibri" w:eastAsia="Calibri" w:hAnsi="Calibri" w:cs="Times New Roman"/>
      <w:lang w:val="x-none"/>
    </w:rPr>
  </w:style>
  <w:style w:type="paragraph" w:styleId="afa">
    <w:name w:val="footer"/>
    <w:basedOn w:val="a0"/>
    <w:link w:val="af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basedOn w:val="a2"/>
    <w:link w:val="afa"/>
    <w:uiPriority w:val="99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ЭАА"/>
    <w:basedOn w:val="1"/>
    <w:link w:val="afe"/>
    <w:qFormat/>
    <w:pPr>
      <w:keepLines/>
      <w:spacing w:before="0" w:after="0"/>
      <w:jc w:val="right"/>
    </w:pPr>
    <w:rPr>
      <w:bCs w:val="0"/>
      <w:caps w:val="0"/>
      <w:color w:val="auto"/>
      <w:kern w:val="0"/>
      <w:sz w:val="20"/>
      <w:szCs w:val="20"/>
      <w:lang w:val="ru-RU"/>
    </w:rPr>
  </w:style>
  <w:style w:type="character" w:customStyle="1" w:styleId="afe">
    <w:name w:val="ЭАА Знак"/>
    <w:link w:val="afd"/>
    <w:locked/>
    <w:rPr>
      <w:rFonts w:ascii="Garamond" w:eastAsia="Times New Roman" w:hAnsi="Garamond" w:cs="Times New Roman"/>
      <w:b/>
      <w:sz w:val="20"/>
      <w:szCs w:val="20"/>
      <w:lang w:eastAsia="ru-RU"/>
    </w:rPr>
  </w:style>
  <w:style w:type="paragraph" w:styleId="aff">
    <w:name w:val="footnote text"/>
    <w:basedOn w:val="a0"/>
    <w:link w:val="aff0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0">
    <w:name w:val="Текст сноски Знак"/>
    <w:basedOn w:val="a2"/>
    <w:link w:val="aff"/>
    <w:rPr>
      <w:rFonts w:ascii="Garamond" w:eastAsia="Batang" w:hAnsi="Garamond" w:cs="Garamond"/>
      <w:sz w:val="20"/>
      <w:szCs w:val="20"/>
      <w:lang w:eastAsia="ar-SA"/>
    </w:rPr>
  </w:style>
  <w:style w:type="paragraph" w:styleId="aff1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f2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2"/>
    <w:uiPriority w:val="99"/>
    <w:semiHidden/>
    <w:rPr>
      <w:color w:val="808080"/>
    </w:rPr>
  </w:style>
  <w:style w:type="paragraph" w:customStyle="1" w:styleId="11">
    <w:name w:val="Абзац списка1"/>
    <w:basedOn w:val="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2"/>
    <w:link w:val="5"/>
    <w:uiPriority w:val="9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Legal Level 1. Знак"/>
    <w:basedOn w:val="a2"/>
    <w:link w:val="6"/>
    <w:uiPriority w:val="9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70">
    <w:name w:val="Заголовок 7 Знак"/>
    <w:aliases w:val="Appendix Header Знак,Legal Level 1.1. Знак"/>
    <w:basedOn w:val="a2"/>
    <w:link w:val="7"/>
    <w:rPr>
      <w:rFonts w:ascii="Garamond" w:eastAsia="Batang" w:hAnsi="Garamond" w:cs="Times New Roman"/>
      <w:szCs w:val="20"/>
      <w:lang w:eastAsia="ar-SA"/>
    </w:rPr>
  </w:style>
  <w:style w:type="character" w:customStyle="1" w:styleId="80">
    <w:name w:val="Заголовок 8 Знак"/>
    <w:aliases w:val="Legal Level 1.1.1. Знак"/>
    <w:basedOn w:val="a2"/>
    <w:link w:val="8"/>
    <w:rPr>
      <w:rFonts w:ascii="Arial" w:eastAsia="Batang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aliases w:val="Legal Level 1.1.1.1. Знак"/>
    <w:basedOn w:val="a2"/>
    <w:link w:val="9"/>
    <w:rPr>
      <w:rFonts w:ascii="Arial" w:eastAsia="Batang" w:hAnsi="Arial" w:cs="Times New Roman"/>
      <w:i/>
      <w:sz w:val="18"/>
      <w:szCs w:val="20"/>
      <w:lang w:eastAsia="ar-SA"/>
    </w:rPr>
  </w:style>
  <w:style w:type="numbering" w:customStyle="1" w:styleId="12">
    <w:name w:val="Нет списка1"/>
    <w:next w:val="a4"/>
    <w:uiPriority w:val="99"/>
    <w:semiHidden/>
    <w:unhideWhenUsed/>
  </w:style>
  <w:style w:type="character" w:styleId="aff4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Pr>
      <w:rFonts w:ascii="Courier New" w:hAnsi="Courier New"/>
      <w:lang w:eastAsia="ar-SA" w:bidi="ar-SA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uiPriority w:val="99"/>
    <w:rPr>
      <w:rFonts w:ascii="Courier New" w:eastAsia="Batang" w:hAnsi="Courier New" w:cs="Courier New"/>
      <w:sz w:val="20"/>
      <w:szCs w:val="20"/>
      <w:lang w:eastAsia="ar-SA"/>
    </w:rPr>
  </w:style>
  <w:style w:type="paragraph" w:styleId="13">
    <w:name w:val="toc 1"/>
    <w:basedOn w:val="a0"/>
    <w:next w:val="a0"/>
    <w:autoRedefine/>
    <w:uiPriority w:val="39"/>
    <w:pPr>
      <w:tabs>
        <w:tab w:val="left" w:pos="660"/>
        <w:tab w:val="right" w:leader="dot" w:pos="9344"/>
      </w:tabs>
      <w:suppressAutoHyphens/>
      <w:spacing w:before="120" w:after="120" w:line="240" w:lineRule="auto"/>
    </w:pPr>
    <w:rPr>
      <w:rFonts w:ascii="Times New Roman" w:eastAsia="Batang" w:hAnsi="Times New Roman"/>
      <w:b/>
      <w:bCs/>
      <w:caps/>
      <w:sz w:val="20"/>
      <w:szCs w:val="20"/>
      <w:lang w:eastAsia="ar-SA"/>
    </w:rPr>
  </w:style>
  <w:style w:type="paragraph" w:styleId="24">
    <w:name w:val="toc 2"/>
    <w:basedOn w:val="a0"/>
    <w:next w:val="a0"/>
    <w:autoRedefine/>
    <w:uiPriority w:val="39"/>
    <w:pPr>
      <w:tabs>
        <w:tab w:val="left" w:pos="660"/>
        <w:tab w:val="right" w:leader="dot" w:pos="9356"/>
      </w:tabs>
      <w:suppressAutoHyphens/>
      <w:spacing w:after="0" w:line="240" w:lineRule="auto"/>
      <w:jc w:val="both"/>
    </w:pPr>
    <w:rPr>
      <w:rFonts w:ascii="Garamond" w:eastAsia="Batang" w:hAnsi="Garamond"/>
      <w:b/>
      <w:bCs/>
      <w:smallCaps/>
      <w:noProof/>
      <w:lang w:eastAsia="ar-SA"/>
    </w:rPr>
  </w:style>
  <w:style w:type="paragraph" w:styleId="34">
    <w:name w:val="toc 3"/>
    <w:basedOn w:val="a0"/>
    <w:next w:val="a0"/>
    <w:autoRedefine/>
    <w:uiPriority w:val="39"/>
    <w:pPr>
      <w:tabs>
        <w:tab w:val="right" w:leader="dot" w:pos="9343"/>
      </w:tabs>
      <w:suppressAutoHyphens/>
      <w:spacing w:after="0" w:line="240" w:lineRule="auto"/>
    </w:pPr>
    <w:rPr>
      <w:rFonts w:ascii="Garamond" w:eastAsia="Batang" w:hAnsi="Garamond" w:cs="Garamond"/>
      <w:b/>
      <w:iCs/>
      <w:caps/>
      <w:noProof/>
      <w:kern w:val="2"/>
      <w:sz w:val="20"/>
      <w:szCs w:val="20"/>
      <w:lang w:eastAsia="ar-SA"/>
    </w:rPr>
  </w:style>
  <w:style w:type="paragraph" w:styleId="aff5">
    <w:name w:val="Normal Indent"/>
    <w:basedOn w:val="a0"/>
    <w:pPr>
      <w:suppressAutoHyphens/>
      <w:spacing w:before="120" w:after="0" w:line="240" w:lineRule="auto"/>
      <w:ind w:left="851"/>
    </w:pPr>
    <w:rPr>
      <w:rFonts w:ascii="Garamond" w:eastAsia="Batang" w:hAnsi="Garamond" w:cs="Garamond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/>
      <w:lang w:eastAsia="ar-SA" w:bidi="ar-SA"/>
    </w:rPr>
  </w:style>
  <w:style w:type="character" w:customStyle="1" w:styleId="CommentTextChar">
    <w:name w:val="Comment Text Char"/>
    <w:uiPriority w:val="99"/>
    <w:semiHidden/>
    <w:locked/>
    <w:rPr>
      <w:lang w:eastAsia="ar-SA" w:bidi="ar-SA"/>
    </w:rPr>
  </w:style>
  <w:style w:type="character" w:customStyle="1" w:styleId="HeaderChar">
    <w:name w:val="Head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FooterChar">
    <w:name w:val="Foot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EndnoteTextChar">
    <w:name w:val="Endnote Text Char"/>
    <w:uiPriority w:val="99"/>
    <w:semiHidden/>
    <w:locked/>
    <w:rPr>
      <w:rFonts w:ascii="Garamond" w:hAnsi="Garamond"/>
      <w:lang w:eastAsia="ar-SA" w:bidi="ar-SA"/>
    </w:rPr>
  </w:style>
  <w:style w:type="paragraph" w:styleId="aff6">
    <w:name w:val="endnote text"/>
    <w:basedOn w:val="a0"/>
    <w:link w:val="aff7"/>
    <w:uiPriority w:val="99"/>
    <w:semiHidden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7">
    <w:name w:val="Текст концевой сноски Знак"/>
    <w:basedOn w:val="a2"/>
    <w:link w:val="aff6"/>
    <w:uiPriority w:val="99"/>
    <w:semiHidden/>
    <w:rPr>
      <w:rFonts w:ascii="Garamond" w:eastAsia="Batang" w:hAnsi="Garamond" w:cs="Garamond"/>
      <w:sz w:val="20"/>
      <w:szCs w:val="20"/>
      <w:lang w:eastAsia="ar-SA"/>
    </w:rPr>
  </w:style>
  <w:style w:type="paragraph" w:styleId="aff8">
    <w:name w:val="List"/>
    <w:basedOn w:val="a0"/>
    <w:uiPriority w:val="99"/>
    <w:pPr>
      <w:suppressAutoHyphens/>
      <w:spacing w:before="120" w:after="0" w:line="240" w:lineRule="auto"/>
      <w:ind w:left="283" w:hanging="283"/>
    </w:pPr>
    <w:rPr>
      <w:rFonts w:ascii="Garamond" w:eastAsia="Batang" w:hAnsi="Garamond" w:cs="Garamond"/>
      <w:sz w:val="20"/>
      <w:szCs w:val="20"/>
      <w:lang w:eastAsia="ar-SA"/>
    </w:rPr>
  </w:style>
  <w:style w:type="paragraph" w:styleId="aff9">
    <w:name w:val="List Bullet"/>
    <w:aliases w:val="UL,Indent 1"/>
    <w:basedOn w:val="a0"/>
    <w:autoRedefine/>
    <w:pPr>
      <w:suppressAutoHyphens/>
      <w:spacing w:after="0" w:line="240" w:lineRule="auto"/>
      <w:ind w:left="851"/>
      <w:jc w:val="both"/>
    </w:pPr>
    <w:rPr>
      <w:rFonts w:ascii="Times New Roman" w:eastAsia="Batang" w:hAnsi="Times New Roman"/>
      <w:b/>
      <w:bCs/>
      <w:i/>
      <w:iCs/>
      <w:sz w:val="24"/>
      <w:szCs w:val="24"/>
      <w:lang w:eastAsia="ar-SA"/>
    </w:rPr>
  </w:style>
  <w:style w:type="paragraph" w:styleId="affa">
    <w:name w:val="List Number"/>
    <w:basedOn w:val="a0"/>
    <w:uiPriority w:val="99"/>
    <w:pPr>
      <w:tabs>
        <w:tab w:val="left" w:pos="851"/>
      </w:tabs>
      <w:suppressAutoHyphens/>
      <w:spacing w:after="80" w:line="240" w:lineRule="auto"/>
      <w:ind w:left="851" w:hanging="454"/>
      <w:jc w:val="both"/>
    </w:pPr>
    <w:rPr>
      <w:rFonts w:ascii="Times New Roman" w:eastAsia="Batang" w:hAnsi="Times New Roman"/>
      <w:sz w:val="24"/>
      <w:szCs w:val="24"/>
      <w:lang w:val="en-US" w:eastAsia="ar-SA"/>
    </w:rPr>
  </w:style>
  <w:style w:type="paragraph" w:styleId="35">
    <w:name w:val="List Bullet 3"/>
    <w:basedOn w:val="a0"/>
    <w:autoRedefine/>
    <w:uiPriority w:val="99"/>
    <w:pPr>
      <w:tabs>
        <w:tab w:val="left" w:pos="2913"/>
      </w:tabs>
      <w:suppressAutoHyphens/>
      <w:spacing w:before="120" w:after="0" w:line="240" w:lineRule="auto"/>
      <w:ind w:left="1873"/>
    </w:pPr>
    <w:rPr>
      <w:rFonts w:ascii="Times New Roman" w:eastAsia="Batang" w:hAnsi="Times New Roman"/>
      <w:lang w:eastAsia="ar-SA"/>
    </w:rPr>
  </w:style>
  <w:style w:type="paragraph" w:styleId="42">
    <w:name w:val="List Number 4"/>
    <w:basedOn w:val="a0"/>
    <w:uiPriority w:val="99"/>
    <w:pPr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styleId="51">
    <w:name w:val="List Number 5"/>
    <w:basedOn w:val="a0"/>
    <w:uiPriority w:val="99"/>
    <w:pPr>
      <w:tabs>
        <w:tab w:val="left" w:pos="1492"/>
      </w:tabs>
      <w:suppressAutoHyphens/>
      <w:spacing w:before="120" w:after="0" w:line="240" w:lineRule="auto"/>
      <w:ind w:left="1492" w:hanging="360"/>
    </w:pPr>
    <w:rPr>
      <w:rFonts w:ascii="Garamond" w:eastAsia="Batang" w:hAnsi="Garamond" w:cs="Garamond"/>
      <w:lang w:eastAsia="ar-SA"/>
    </w:rPr>
  </w:style>
  <w:style w:type="paragraph" w:styleId="affb">
    <w:name w:val="Subtitle"/>
    <w:basedOn w:val="a0"/>
    <w:link w:val="affc"/>
    <w:uiPriority w:val="99"/>
    <w:qFormat/>
    <w:pPr>
      <w:suppressAutoHyphens/>
      <w:spacing w:before="120" w:after="60" w:line="240" w:lineRule="auto"/>
      <w:jc w:val="center"/>
      <w:outlineLvl w:val="1"/>
    </w:pPr>
    <w:rPr>
      <w:rFonts w:ascii="Arial" w:eastAsia="Batang" w:hAnsi="Arial"/>
      <w:sz w:val="24"/>
      <w:szCs w:val="20"/>
      <w:lang w:eastAsia="ar-SA"/>
    </w:rPr>
  </w:style>
  <w:style w:type="character" w:customStyle="1" w:styleId="affc">
    <w:name w:val="Подзаголовок Знак"/>
    <w:basedOn w:val="a2"/>
    <w:link w:val="affb"/>
    <w:uiPriority w:val="99"/>
    <w:rPr>
      <w:rFonts w:ascii="Arial" w:eastAsia="Batang" w:hAnsi="Arial" w:cs="Times New Roman"/>
      <w:sz w:val="24"/>
      <w:szCs w:val="20"/>
      <w:lang w:eastAsia="ar-SA"/>
    </w:rPr>
  </w:style>
  <w:style w:type="character" w:customStyle="1" w:styleId="TitleChar">
    <w:name w:val="Title Char"/>
    <w:uiPriority w:val="99"/>
    <w:locked/>
    <w:rPr>
      <w:rFonts w:ascii="Garamond" w:hAnsi="Garamond"/>
      <w:b/>
      <w:sz w:val="32"/>
      <w:lang w:eastAsia="ar-SA" w:bidi="ar-SA"/>
    </w:rPr>
  </w:style>
  <w:style w:type="character" w:customStyle="1" w:styleId="BodyText2Char">
    <w:name w:val="Body Text 2 Char"/>
    <w:uiPriority w:val="99"/>
    <w:locked/>
    <w:rPr>
      <w:sz w:val="24"/>
      <w:lang w:eastAsia="ar-SA" w:bidi="ar-SA"/>
    </w:rPr>
  </w:style>
  <w:style w:type="character" w:customStyle="1" w:styleId="BodyText3Char">
    <w:name w:val="Body Text 3 Char"/>
    <w:uiPriority w:val="99"/>
    <w:locked/>
    <w:rPr>
      <w:rFonts w:ascii="Garamond" w:hAnsi="Garamond"/>
      <w:b/>
      <w:sz w:val="22"/>
      <w:lang w:eastAsia="ar-SA" w:bidi="ar-SA"/>
    </w:rPr>
  </w:style>
  <w:style w:type="character" w:customStyle="1" w:styleId="BodyTextIndent2Char">
    <w:name w:val="Body Text Indent 2 Char"/>
    <w:uiPriority w:val="99"/>
    <w:locked/>
    <w:rPr>
      <w:rFonts w:ascii="Garamond" w:hAnsi="Garamond"/>
      <w:sz w:val="22"/>
      <w:lang w:eastAsia="ar-SA" w:bidi="ar-SA"/>
    </w:rPr>
  </w:style>
  <w:style w:type="paragraph" w:styleId="25">
    <w:name w:val="Body Text Indent 2"/>
    <w:basedOn w:val="a0"/>
    <w:link w:val="26"/>
    <w:uiPriority w:val="99"/>
    <w:pPr>
      <w:suppressAutoHyphens/>
      <w:spacing w:before="120" w:after="120" w:line="480" w:lineRule="auto"/>
      <w:ind w:left="283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2"/>
    <w:link w:val="25"/>
    <w:uiPriority w:val="99"/>
    <w:rPr>
      <w:rFonts w:ascii="Garamond" w:eastAsia="Batang" w:hAnsi="Garamond" w:cs="Garamond"/>
      <w:sz w:val="20"/>
      <w:szCs w:val="20"/>
      <w:lang w:eastAsia="ar-SA"/>
    </w:rPr>
  </w:style>
  <w:style w:type="character" w:customStyle="1" w:styleId="CommentSubjectChar">
    <w:name w:val="Comment Subject Char"/>
    <w:uiPriority w:val="99"/>
    <w:semiHidden/>
    <w:locked/>
    <w:rPr>
      <w:rFonts w:ascii="Garamond" w:hAnsi="Garamond"/>
      <w:b/>
      <w:lang w:eastAsia="ar-SA" w:bidi="ar-SA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msolistparagraph0">
    <w:name w:val="msolistparagraph"/>
    <w:basedOn w:val="a0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0"/>
    <w:next w:val="a1"/>
    <w:uiPriority w:val="99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0"/>
    <w:uiPriority w:val="99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0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lauseindent">
    <w:name w:val="clauseindent"/>
    <w:basedOn w:val="a0"/>
    <w:uiPriority w:val="99"/>
    <w:pPr>
      <w:suppressAutoHyphens/>
      <w:spacing w:before="120" w:after="120" w:line="240" w:lineRule="auto"/>
      <w:ind w:left="426"/>
      <w:jc w:val="both"/>
    </w:pPr>
    <w:rPr>
      <w:rFonts w:ascii="Times New Roman" w:eastAsia="Batang" w:hAnsi="Times New Roman"/>
      <w:i/>
      <w:iCs/>
      <w:lang w:eastAsia="ar-SA"/>
    </w:rPr>
  </w:style>
  <w:style w:type="paragraph" w:customStyle="1" w:styleId="Definition">
    <w:name w:val="Definition"/>
    <w:basedOn w:val="a0"/>
    <w:uiPriority w:val="99"/>
    <w:pPr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lang w:eastAsia="ar-SA"/>
    </w:rPr>
  </w:style>
  <w:style w:type="paragraph" w:customStyle="1" w:styleId="Unnumbered">
    <w:name w:val="Unnumbered"/>
    <w:basedOn w:val="a0"/>
    <w:next w:val="3"/>
    <w:uiPriority w:val="99"/>
    <w:pPr>
      <w:keepNext/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i/>
      <w:iCs/>
      <w:lang w:eastAsia="ar-SA"/>
    </w:rPr>
  </w:style>
  <w:style w:type="paragraph" w:customStyle="1" w:styleId="TOCTitle">
    <w:name w:val="TOC Title"/>
    <w:basedOn w:val="a0"/>
    <w:uiPriority w:val="99"/>
    <w:pPr>
      <w:keepLines/>
      <w:suppressAutoHyphens/>
      <w:spacing w:before="120" w:after="240" w:line="240" w:lineRule="auto"/>
      <w:jc w:val="center"/>
    </w:pPr>
    <w:rPr>
      <w:rFonts w:ascii="Garamond" w:eastAsia="Batang" w:hAnsi="Garamond" w:cs="Garamond"/>
      <w:b/>
      <w:bCs/>
      <w:sz w:val="32"/>
      <w:szCs w:val="32"/>
      <w:lang w:eastAsia="ar-SA"/>
    </w:rPr>
  </w:style>
  <w:style w:type="paragraph" w:customStyle="1" w:styleId="subsubsubclauseindent">
    <w:name w:val="subsubsubclauseindent"/>
    <w:basedOn w:val="a0"/>
    <w:uiPriority w:val="99"/>
    <w:pPr>
      <w:suppressAutoHyphens/>
      <w:spacing w:before="120" w:after="120" w:line="240" w:lineRule="auto"/>
      <w:ind w:left="3119"/>
      <w:jc w:val="both"/>
    </w:pPr>
    <w:rPr>
      <w:rFonts w:ascii="Times New Roman" w:eastAsia="Batang" w:hAnsi="Times New Roman"/>
      <w:lang w:eastAsia="ar-SA"/>
    </w:rPr>
  </w:style>
  <w:style w:type="paragraph" w:customStyle="1" w:styleId="affd">
    <w:name w:val="Список с маркерами"/>
    <w:basedOn w:val="a0"/>
    <w:uiPriority w:val="99"/>
    <w:pPr>
      <w:tabs>
        <w:tab w:val="left" w:pos="2556"/>
      </w:tabs>
      <w:suppressAutoHyphens/>
      <w:spacing w:after="0" w:line="240" w:lineRule="auto"/>
      <w:ind w:left="2556" w:hanging="855"/>
    </w:pPr>
    <w:rPr>
      <w:rFonts w:ascii="Times New Roman" w:eastAsia="Batang" w:hAnsi="Times New Roman"/>
      <w:sz w:val="24"/>
      <w:szCs w:val="24"/>
      <w:lang w:eastAsia="ar-SA"/>
    </w:rPr>
  </w:style>
  <w:style w:type="paragraph" w:customStyle="1" w:styleId="14">
    <w:name w:val="Нумерованный список 1"/>
    <w:basedOn w:val="a0"/>
    <w:uiPriority w:val="99"/>
    <w:pPr>
      <w:suppressAutoHyphens/>
      <w:spacing w:before="120" w:after="120" w:line="24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affe">
    <w:name w:val="Простой"/>
    <w:basedOn w:val="a0"/>
    <w:pPr>
      <w:suppressAutoHyphens/>
      <w:spacing w:before="120" w:after="0" w:line="240" w:lineRule="auto"/>
    </w:pPr>
    <w:rPr>
      <w:rFonts w:ascii="Arial" w:eastAsia="Batang" w:hAnsi="Arial" w:cs="Arial"/>
      <w:spacing w:val="-5"/>
      <w:sz w:val="20"/>
      <w:szCs w:val="20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0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1"/>
    <w:uiPriority w:val="99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Batang" w:hAnsi="Times New Roman"/>
      <w:lang w:val="ru-RU" w:eastAsia="ar-SA"/>
    </w:rPr>
  </w:style>
  <w:style w:type="paragraph" w:customStyle="1" w:styleId="Normal1">
    <w:name w:val="Normal1"/>
    <w:uiPriority w:val="99"/>
    <w:pPr>
      <w:autoSpaceDE w:val="0"/>
      <w:autoSpaceDN w:val="0"/>
      <w:spacing w:after="0" w:line="240" w:lineRule="auto"/>
      <w:jc w:val="both"/>
    </w:pPr>
    <w:rPr>
      <w:rFonts w:ascii="Arial" w:eastAsia="Batang" w:hAnsi="Arial" w:cs="Arial"/>
      <w:sz w:val="20"/>
      <w:szCs w:val="20"/>
      <w:lang w:val="en-US"/>
    </w:rPr>
  </w:style>
  <w:style w:type="paragraph" w:customStyle="1" w:styleId="15">
    <w:name w:val="Знак1"/>
    <w:basedOn w:val="a0"/>
    <w:uiPriority w:val="99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b/>
      <w:bCs/>
      <w:lang w:eastAsia="ru-RU"/>
    </w:rPr>
  </w:style>
  <w:style w:type="paragraph" w:customStyle="1" w:styleId="con">
    <w:name w:val="con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character" w:styleId="afff">
    <w:name w:val="page number"/>
    <w:rPr>
      <w:rFonts w:ascii="Times New Roman" w:hAnsi="Times New Roman" w:cs="Times New Roman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odytext">
    <w:name w:val="body text Знак Знак"/>
    <w:uiPriority w:val="99"/>
    <w:rPr>
      <w:rFonts w:ascii="Times New Roman" w:hAnsi="Times New Roman"/>
      <w:sz w:val="22"/>
      <w:lang w:val="en-GB" w:eastAsia="ar-SA" w:bidi="ar-SA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character" w:customStyle="1" w:styleId="m1">
    <w:name w:val="m1"/>
    <w:uiPriority w:val="99"/>
    <w:rPr>
      <w:rFonts w:ascii="Times New Roman" w:hAnsi="Times New Roman"/>
      <w:color w:val="0000FF"/>
    </w:rPr>
  </w:style>
  <w:style w:type="paragraph" w:customStyle="1" w:styleId="27">
    <w:name w:val="Абзац списка2"/>
    <w:basedOn w:val="a0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el12-Punkt-Demi">
    <w:name w:val="Titel 12-Punkt-Demi"/>
    <w:basedOn w:val="af8"/>
    <w:uiPriority w:val="99"/>
    <w:pPr>
      <w:tabs>
        <w:tab w:val="clear" w:pos="4677"/>
        <w:tab w:val="clear" w:pos="9355"/>
        <w:tab w:val="center" w:pos="4536"/>
        <w:tab w:val="right" w:pos="9072"/>
      </w:tabs>
      <w:spacing w:before="120" w:after="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n">
    <w:name w:val="footercon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0">
    <w:name w:val="footnote reference"/>
    <w:semiHidden/>
    <w:rPr>
      <w:rFonts w:cs="Times New Roman"/>
      <w:vertAlign w:val="superscript"/>
    </w:rPr>
  </w:style>
  <w:style w:type="character" w:customStyle="1" w:styleId="blk">
    <w:name w:val="blk"/>
    <w:uiPriority w:val="99"/>
  </w:style>
  <w:style w:type="paragraph" w:customStyle="1" w:styleId="afff1">
    <w:name w:val="Обычный текст"/>
    <w:basedOn w:val="a0"/>
    <w:link w:val="afff2"/>
    <w:uiPriority w:val="99"/>
    <w:pPr>
      <w:spacing w:after="0" w:line="240" w:lineRule="auto"/>
      <w:ind w:firstLine="425"/>
    </w:pPr>
    <w:rPr>
      <w:rFonts w:ascii="Times New Roman" w:eastAsia="Arial Unicode MS" w:hAnsi="Times New Roman"/>
      <w:sz w:val="24"/>
      <w:szCs w:val="20"/>
      <w:lang w:eastAsia="ru-RU"/>
    </w:rPr>
  </w:style>
  <w:style w:type="character" w:customStyle="1" w:styleId="afff2">
    <w:name w:val="Обычный текст Знак"/>
    <w:link w:val="afff1"/>
    <w:uiPriority w:val="99"/>
    <w:locked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fff3">
    <w:name w:val="Пункт"/>
    <w:basedOn w:val="a0"/>
    <w:link w:val="1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6">
    <w:name w:val="Пункт Знак1"/>
    <w:link w:val="afff3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.список.альт."/>
    <w:basedOn w:val="a0"/>
    <w:qFormat/>
    <w:pPr>
      <w:numPr>
        <w:numId w:val="1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4">
    <w:name w:val="Стиль4"/>
    <w:basedOn w:val="a0"/>
    <w:qFormat/>
    <w:pPr>
      <w:numPr>
        <w:numId w:val="2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7">
    <w:name w:val="Сетка таблицы1"/>
    <w:basedOn w:val="a3"/>
    <w:next w:val="aff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18">
    <w:name w:val="Обычный1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36">
    <w:name w:val="Абзац списка3"/>
    <w:basedOn w:val="a0"/>
    <w:uiPriority w:val="99"/>
    <w:pPr>
      <w:suppressAutoHyphens/>
      <w:ind w:left="720"/>
    </w:pPr>
    <w:rPr>
      <w:lang w:eastAsia="ar-SA"/>
    </w:rPr>
  </w:style>
  <w:style w:type="paragraph" w:customStyle="1" w:styleId="afff4">
    <w:name w:val="Пункт_нормативн_документа"/>
    <w:basedOn w:val="a1"/>
    <w:uiPriority w:val="99"/>
    <w:pPr>
      <w:tabs>
        <w:tab w:val="left" w:pos="567"/>
        <w:tab w:val="num" w:pos="1332"/>
      </w:tabs>
      <w:overflowPunct/>
      <w:autoSpaceDE/>
      <w:autoSpaceDN/>
      <w:adjustRightInd/>
      <w:spacing w:before="60" w:after="0"/>
      <w:ind w:left="1332" w:hanging="432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Абзац списка4"/>
    <w:basedOn w:val="a0"/>
    <w:uiPriority w:val="99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txt">
    <w:name w:val="txt"/>
    <w:basedOn w:val="a0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52">
    <w:name w:val="Абзац списка5"/>
    <w:basedOn w:val="a0"/>
    <w:uiPriority w:val="99"/>
    <w:pPr>
      <w:suppressAutoHyphens/>
      <w:ind w:left="720"/>
    </w:pPr>
    <w:rPr>
      <w:rFonts w:eastAsia="Times New Roman"/>
      <w:lang w:eastAsia="ar-SA"/>
    </w:rPr>
  </w:style>
  <w:style w:type="numbering" w:customStyle="1" w:styleId="List63">
    <w:name w:val="List 63"/>
    <w:pPr>
      <w:numPr>
        <w:numId w:val="3"/>
      </w:numPr>
    </w:pPr>
  </w:style>
  <w:style w:type="paragraph" w:customStyle="1" w:styleId="61">
    <w:name w:val="Абзац списка6"/>
    <w:basedOn w:val="a0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71">
    <w:name w:val="Абзац списка7"/>
    <w:basedOn w:val="a0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19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paragraph" w:styleId="44">
    <w:name w:val="toc 4"/>
    <w:basedOn w:val="a0"/>
    <w:next w:val="a0"/>
    <w:pPr>
      <w:spacing w:after="0" w:line="240" w:lineRule="auto"/>
      <w:ind w:left="660"/>
    </w:pPr>
    <w:rPr>
      <w:rFonts w:ascii="Times New Roman" w:eastAsia="Times New Roman" w:hAnsi="Times New Roman"/>
      <w:sz w:val="18"/>
      <w:szCs w:val="20"/>
    </w:rPr>
  </w:style>
  <w:style w:type="paragraph" w:customStyle="1" w:styleId="110">
    <w:name w:val="Обычный + 11 пт"/>
    <w:aliases w:val="По ширине"/>
    <w:basedOn w:val="a0"/>
    <w:pPr>
      <w:tabs>
        <w:tab w:val="num" w:pos="574"/>
      </w:tabs>
      <w:spacing w:after="0" w:line="240" w:lineRule="auto"/>
      <w:ind w:left="574" w:hanging="432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81">
    <w:name w:val="Абзац списка8"/>
    <w:basedOn w:val="a0"/>
    <w:pPr>
      <w:ind w:left="720"/>
      <w:contextualSpacing/>
    </w:pPr>
    <w:rPr>
      <w:rFonts w:eastAsia="Times New Roman"/>
    </w:rPr>
  </w:style>
  <w:style w:type="paragraph" w:customStyle="1" w:styleId="1a">
    <w:name w:val="список 1"/>
    <w:basedOn w:val="a0"/>
    <w:pPr>
      <w:spacing w:after="240" w:line="240" w:lineRule="auto"/>
      <w:ind w:left="7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">
    <w:name w:val="Абзац списка9"/>
    <w:basedOn w:val="a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fff5">
    <w:name w:val="Plain Text"/>
    <w:basedOn w:val="a0"/>
    <w:link w:val="afff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6">
    <w:name w:val="Текст Знак"/>
    <w:basedOn w:val="a2"/>
    <w:link w:val="aff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37">
    <w:name w:val="заголовок 3"/>
    <w:basedOn w:val="a0"/>
    <w:next w:val="a0"/>
    <w:pPr>
      <w:keepNext/>
      <w:spacing w:before="120" w:after="120" w:line="240" w:lineRule="auto"/>
      <w:jc w:val="both"/>
    </w:pPr>
    <w:rPr>
      <w:rFonts w:ascii="Garamond" w:eastAsia="Times New Roman" w:hAnsi="Garamond"/>
      <w:szCs w:val="20"/>
      <w:lang w:eastAsia="ru-RU"/>
    </w:rPr>
  </w:style>
  <w:style w:type="paragraph" w:customStyle="1" w:styleId="320">
    <w:name w:val="Основной текст с отступом 32"/>
    <w:basedOn w:val="a0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arkedcontent">
    <w:name w:val="markedcontent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0F17-3DDC-48DC-8D57-B3006895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Лонщакова Ольга Леонидовна</dc:creator>
  <cp:keywords/>
  <dc:description/>
  <cp:lastModifiedBy>Пряхина Ирина Игоревна</cp:lastModifiedBy>
  <cp:revision>6</cp:revision>
  <cp:lastPrinted>2019-06-14T13:23:00Z</cp:lastPrinted>
  <dcterms:created xsi:type="dcterms:W3CDTF">2024-12-11T12:36:00Z</dcterms:created>
  <dcterms:modified xsi:type="dcterms:W3CDTF">2024-12-19T20:04:00Z</dcterms:modified>
</cp:coreProperties>
</file>