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B4" w:rsidRDefault="00AE1CAA" w:rsidP="00C63C32">
      <w:pPr>
        <w:widowControl w:val="0"/>
        <w:spacing w:after="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  <w:lang w:val="en-US"/>
        </w:rPr>
        <w:t>V</w:t>
      </w:r>
      <w:r>
        <w:rPr>
          <w:rFonts w:ascii="Garamond" w:hAnsi="Garamond"/>
          <w:b/>
          <w:sz w:val="28"/>
          <w:szCs w:val="28"/>
        </w:rPr>
        <w:t>.3. Изменения, связанные c учетом соглашений о порядке исполнения обязательств ПАО «Россети Северный Кавказ» и АО «Чеченэнерго»</w:t>
      </w:r>
    </w:p>
    <w:p w:rsidR="00750AB4" w:rsidRDefault="00750AB4" w:rsidP="00C63C32">
      <w:pPr>
        <w:widowControl w:val="0"/>
        <w:spacing w:after="0" w:line="240" w:lineRule="auto"/>
        <w:jc w:val="both"/>
        <w:rPr>
          <w:rFonts w:ascii="Garamond" w:hAnsi="Garamond"/>
          <w:b/>
          <w:sz w:val="28"/>
          <w:szCs w:val="28"/>
        </w:rPr>
      </w:pPr>
    </w:p>
    <w:p w:rsidR="00750AB4" w:rsidRDefault="00AE1CAA" w:rsidP="00C63C32">
      <w:pPr>
        <w:widowControl w:val="0"/>
        <w:spacing w:after="0" w:line="240" w:lineRule="auto"/>
        <w:jc w:val="right"/>
        <w:rPr>
          <w:rFonts w:ascii="Garamond" w:hAnsi="Garamond"/>
          <w:b/>
          <w:sz w:val="28"/>
          <w:szCs w:val="28"/>
          <w:lang w:val="en-US"/>
        </w:rPr>
      </w:pPr>
      <w:r>
        <w:rPr>
          <w:rFonts w:ascii="Garamond" w:hAnsi="Garamond"/>
          <w:b/>
          <w:sz w:val="28"/>
          <w:szCs w:val="28"/>
        </w:rPr>
        <w:t>Приложение № 5.</w:t>
      </w:r>
      <w:r>
        <w:rPr>
          <w:rFonts w:ascii="Garamond" w:hAnsi="Garamond"/>
          <w:b/>
          <w:sz w:val="28"/>
          <w:szCs w:val="28"/>
          <w:lang w:val="en-US"/>
        </w:rPr>
        <w:t>3</w:t>
      </w:r>
    </w:p>
    <w:p w:rsidR="00750AB4" w:rsidRDefault="00750AB4" w:rsidP="00C63C32">
      <w:pPr>
        <w:widowControl w:val="0"/>
        <w:spacing w:after="0" w:line="240" w:lineRule="auto"/>
        <w:jc w:val="right"/>
        <w:rPr>
          <w:rFonts w:ascii="Garamond" w:hAnsi="Garamond"/>
          <w:b/>
          <w:sz w:val="28"/>
          <w:szCs w:val="28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6"/>
      </w:tblGrid>
      <w:tr w:rsidR="00750AB4">
        <w:trPr>
          <w:trHeight w:val="1013"/>
        </w:trPr>
        <w:tc>
          <w:tcPr>
            <w:tcW w:w="1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4" w:rsidRDefault="00AE1CAA" w:rsidP="00C63C32">
            <w:pPr>
              <w:widowControl w:val="0"/>
              <w:tabs>
                <w:tab w:val="left" w:pos="0"/>
                <w:tab w:val="left" w:pos="3420"/>
              </w:tabs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Инициатор: </w:t>
            </w:r>
            <w:r>
              <w:rPr>
                <w:rFonts w:ascii="Garamond" w:hAnsi="Garamond"/>
                <w:sz w:val="24"/>
                <w:szCs w:val="24"/>
              </w:rPr>
              <w:t>Ассоциация «НП Совет рынка».</w:t>
            </w:r>
          </w:p>
          <w:p w:rsidR="00750AB4" w:rsidRDefault="00AE1CAA" w:rsidP="00C63C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Обоснование: </w:t>
            </w:r>
            <w:r>
              <w:rPr>
                <w:rFonts w:ascii="Garamond" w:hAnsi="Garamond"/>
                <w:sz w:val="24"/>
                <w:szCs w:val="24"/>
              </w:rPr>
              <w:t>необходимость доработки утвержденных ранее изменений, связанных с учетом соглашений о порядке исполнения обязательств ПАО «Россети Северный Кавказ» и АО «Чеченэнерго»</w:t>
            </w:r>
            <w:r w:rsidR="00C63C32">
              <w:rPr>
                <w:rFonts w:ascii="Garamond" w:hAnsi="Garamond"/>
                <w:sz w:val="24"/>
                <w:szCs w:val="24"/>
              </w:rPr>
              <w:t>.</w:t>
            </w:r>
          </w:p>
          <w:p w:rsidR="00750AB4" w:rsidRDefault="00AE1CAA" w:rsidP="00C63C3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Дата вступления в силу:</w:t>
            </w:r>
            <w:r>
              <w:rPr>
                <w:rFonts w:ascii="Garamond" w:hAnsi="Garamond"/>
                <w:sz w:val="24"/>
                <w:szCs w:val="24"/>
              </w:rPr>
              <w:t xml:space="preserve"> 17 марта 2022 года.</w:t>
            </w:r>
          </w:p>
        </w:tc>
      </w:tr>
    </w:tbl>
    <w:p w:rsidR="00750AB4" w:rsidRDefault="00750AB4" w:rsidP="00C63C32">
      <w:pPr>
        <w:spacing w:after="0" w:line="240" w:lineRule="auto"/>
        <w:rPr>
          <w:rFonts w:ascii="Garamond" w:hAnsi="Garamond"/>
        </w:rPr>
      </w:pPr>
    </w:p>
    <w:p w:rsidR="00750AB4" w:rsidRDefault="00AE1CAA" w:rsidP="00C63C32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  <w:b/>
          <w:sz w:val="26"/>
        </w:rPr>
        <w:t>Предложения по изменениям и дополнениям в РЕГЛАМЕНТ ФИНАНСОВЫХ РАСЧЕТОВ НА ОПТОВОМ РЫНКЕ ЭЛЕКТРОЭНЕРГИИ (Приложение № 16 к Договору о присоединении к торговой системе оптового рынка)</w:t>
      </w:r>
    </w:p>
    <w:p w:rsidR="00750AB4" w:rsidRDefault="00750AB4" w:rsidP="00C63C32">
      <w:pPr>
        <w:tabs>
          <w:tab w:val="left" w:pos="709"/>
        </w:tabs>
        <w:spacing w:after="0" w:line="240" w:lineRule="auto"/>
        <w:jc w:val="center"/>
        <w:rPr>
          <w:rFonts w:ascii="Garamond" w:hAnsi="Garamond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6396"/>
        <w:gridCol w:w="7193"/>
      </w:tblGrid>
      <w:tr w:rsidR="00750AB4">
        <w:trPr>
          <w:trHeight w:val="64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0AB4" w:rsidRDefault="00AE1CAA" w:rsidP="00C63C3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№</w:t>
            </w:r>
          </w:p>
          <w:p w:rsidR="00750AB4" w:rsidRDefault="00AE1CAA" w:rsidP="00C63C32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lang w:val="en-GB"/>
              </w:rPr>
            </w:pPr>
            <w:r>
              <w:rPr>
                <w:rFonts w:ascii="Garamond" w:hAnsi="Garamond" w:cs="Garamond"/>
                <w:b/>
                <w:bCs/>
              </w:rPr>
              <w:t>пункта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B4" w:rsidRDefault="00AE1CAA" w:rsidP="00C63C32">
            <w:pPr>
              <w:spacing w:after="0" w:line="240" w:lineRule="auto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 xml:space="preserve">Редакция, действующая на момент </w:t>
            </w:r>
          </w:p>
          <w:p w:rsidR="00750AB4" w:rsidRDefault="00AE1CAA" w:rsidP="00C63C32">
            <w:pPr>
              <w:spacing w:after="0" w:line="240" w:lineRule="auto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вступления в силу изменений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B4" w:rsidRDefault="00AE1CAA" w:rsidP="00C63C32">
            <w:pPr>
              <w:spacing w:after="0" w:line="240" w:lineRule="auto"/>
              <w:jc w:val="center"/>
              <w:rPr>
                <w:rFonts w:ascii="Garamond" w:hAnsi="Garamond" w:cs="Garamond"/>
                <w:b/>
              </w:rPr>
            </w:pPr>
            <w:r>
              <w:rPr>
                <w:rFonts w:ascii="Garamond" w:hAnsi="Garamond" w:cs="Garamond"/>
                <w:b/>
              </w:rPr>
              <w:t>Предлагаемая редакция</w:t>
            </w:r>
          </w:p>
          <w:p w:rsidR="00750AB4" w:rsidRDefault="00AE1CAA" w:rsidP="00C63C32">
            <w:pPr>
              <w:spacing w:after="0" w:line="240" w:lineRule="auto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(изменения выделены цветом)</w:t>
            </w:r>
          </w:p>
        </w:tc>
      </w:tr>
      <w:tr w:rsidR="00750AB4">
        <w:trPr>
          <w:trHeight w:val="64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0AB4" w:rsidRDefault="00EF0F28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2.5.6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В случае прекращения учета ЦФР соглашений о реструктуризации задолженности, заключенных по стандартной форме приложения 114.3 к настоящему Регламенту, и принятия Наблюдательным советом Совета рынка решения о рекомендации реализовывать мероприятия по урегулированию задолженности в отношении одного или нескольких участников оптового рынка, ранее заключавших указанные соглашения о реструктуризации задолженности, Совет рынка в течение 1 рабочего дня с даты принятия Наблюдательным советом Совета рынка соответствующего решения направляет в ЦФР уведомление со списком участников, в отношении которых Наблюдательным советом Совета рынка принято данное решение.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ЦФР начиная со дня, следующего за днем получения от Совета рынка уведомления со списком участников, в отношении которых Наблюдательным советом Совета рынка принято соответствующее решение, не включает в Сводный реестр платежей, передаваемый в уполномоченную кредитную организацию, обязательства по оплате электрической энергии и (или) мощности таких участников по договорам купли-продажи на </w:t>
            </w:r>
            <w:r>
              <w:rPr>
                <w:rFonts w:ascii="Garamond" w:hAnsi="Garamond"/>
              </w:rPr>
              <w:lastRenderedPageBreak/>
              <w:t>РСВ и договорам купли-продажи на БР, а также регулируемым договорам купли-продажи электроэнергии и мощности за расчетные периоды до 1 января 2022 года.</w:t>
            </w:r>
          </w:p>
          <w:p w:rsidR="00750AB4" w:rsidRDefault="00AE1CAA">
            <w:pPr>
              <w:widowControl w:val="0"/>
              <w:spacing w:before="120" w:after="120" w:line="240" w:lineRule="auto"/>
              <w:ind w:left="142" w:firstLine="618"/>
              <w:jc w:val="both"/>
              <w:outlineLvl w:val="2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…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 xml:space="preserve">В случае прекращения учета ЦФР соглашений о реструктуризации задолженности, заключенных по стандартной форме приложения 114.3 к настоящему Регламенту, и принятия Наблюдательным советом Совета рынка решения о рекомендации реализовывать мероприятия по урегулированию задолженности в отношении одного или нескольких участников оптового рынка, ранее заключавших указанные соглашения о реструктуризации задолженности, Совет рынка в течение 1 рабочего дня с даты принятия Наблюдательным советом Совета рынка соответствующего решения направляет в ЦФР уведомление со списком участников, в отношении которых Наблюдательным советом Совета рынка принято данное решение. </w:t>
            </w:r>
            <w:r>
              <w:rPr>
                <w:rFonts w:ascii="Garamond" w:hAnsi="Garamond"/>
                <w:highlight w:val="yellow"/>
              </w:rPr>
              <w:t>Аналогичное уведомление Совет рынка направляет в КО не позднее 28.03.2022.</w:t>
            </w:r>
          </w:p>
          <w:p w:rsidR="00750AB4" w:rsidRDefault="00AE1CAA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</w:rPr>
              <w:t>ЦФР начиная со дня, следующего за днем получения от Совета рынка уведомления со списком участников, в отношении которых Наблюдательным советом Совета рынка принято соответствующее решение, не включает в Сводный реестр платежей, передаваемый в уполномоченную кредитную организацию, обязательства по оплате электрической энергии и (или) мощности таких участников по договорам купли-продажи на РСВ и договорам купли-продажи на БР, а также регулируемым договорам купли-</w:t>
            </w:r>
            <w:r>
              <w:rPr>
                <w:rFonts w:ascii="Garamond" w:hAnsi="Garamond"/>
              </w:rPr>
              <w:lastRenderedPageBreak/>
              <w:t>продажи электроэнергии и мощности за расчетные периоды до 1 января 2022 года.</w:t>
            </w:r>
          </w:p>
          <w:p w:rsidR="00750AB4" w:rsidRDefault="00AE1CAA">
            <w:pPr>
              <w:widowControl w:val="0"/>
              <w:spacing w:before="120" w:after="120" w:line="240" w:lineRule="auto"/>
              <w:ind w:left="142" w:firstLine="618"/>
              <w:jc w:val="both"/>
              <w:outlineLvl w:val="2"/>
              <w:rPr>
                <w:rFonts w:ascii="Garamond" w:eastAsia="Times New Roman" w:hAnsi="Garamond"/>
                <w:color w:val="000000"/>
              </w:rPr>
            </w:pPr>
            <w:r>
              <w:rPr>
                <w:rFonts w:ascii="Garamond" w:eastAsia="Times New Roman" w:hAnsi="Garamond"/>
                <w:color w:val="000000"/>
              </w:rPr>
              <w:t>…</w:t>
            </w:r>
          </w:p>
        </w:tc>
      </w:tr>
      <w:tr w:rsidR="00750AB4">
        <w:trPr>
          <w:trHeight w:val="64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0AB4" w:rsidRDefault="00AE1CAA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lastRenderedPageBreak/>
              <w:t>12.5.3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4" w:rsidRDefault="00AE1CAA">
            <w:pPr>
              <w:pStyle w:val="a5"/>
              <w:ind w:firstLine="598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…</w:t>
            </w:r>
          </w:p>
          <w:p w:rsidR="00750AB4" w:rsidRDefault="00AE1CAA">
            <w:pPr>
              <w:pStyle w:val="a5"/>
              <w:ind w:firstLine="598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ЦФР начиная со дня, следующего за днем получения от Совета рынка уведомления со списком участников, указанного в п. 2.5.6 настоящего Регламента, не рассчитывает и не включает в Сводный реестр платежей, передаваемый в уполномоченную кредитную организацию, неустойку (пени) по обязательствам указанных участников по оплате электрической энергии и (или) мощности, а также услуг инфраструктурных организаций за расчетные периоды с 1 января 2022 года.</w:t>
            </w:r>
          </w:p>
          <w:p w:rsidR="00750AB4" w:rsidRDefault="00AE1CAA">
            <w:pPr>
              <w:widowControl w:val="0"/>
              <w:spacing w:before="120" w:after="120" w:line="240" w:lineRule="auto"/>
              <w:ind w:left="142" w:firstLine="618"/>
              <w:jc w:val="both"/>
              <w:outlineLvl w:val="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ЦФР рассчитывает и включает в Сводный реестр платежей, передаваемый в уполномоченную кредитную организацию, неустойку (пени) по обязательствам указанных участников по оплате электрической энергии и (или) мощности, а также услуг инфраструктурных организаций с даты прекращения учета соглашений о порядке исполнения обязательств, заключенных этими участниками по форме приложения 114.15 к настоящему Регламенту в порядке, предусмотренном разделом 18</w:t>
            </w:r>
            <w:r>
              <w:rPr>
                <w:rFonts w:ascii="Garamond" w:hAnsi="Garamond"/>
              </w:rPr>
              <w:t>´</w:t>
            </w:r>
            <w:r>
              <w:rPr>
                <w:rFonts w:ascii="Garamond" w:hAnsi="Garamond"/>
                <w:color w:val="000000"/>
              </w:rPr>
              <w:t xml:space="preserve"> настоящего Регламента.</w:t>
            </w:r>
          </w:p>
          <w:p w:rsidR="00750AB4" w:rsidRDefault="00750AB4">
            <w:pPr>
              <w:pStyle w:val="a5"/>
              <w:ind w:firstLine="598"/>
              <w:rPr>
                <w:rFonts w:ascii="Garamond" w:hAnsi="Garamond"/>
                <w:b/>
                <w:color w:val="000000"/>
                <w:lang w:val="ru-RU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AB4" w:rsidRDefault="00AE1CAA">
            <w:pPr>
              <w:pStyle w:val="a5"/>
              <w:ind w:firstLine="598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…</w:t>
            </w:r>
          </w:p>
          <w:p w:rsidR="00750AB4" w:rsidRDefault="00AE1CAA">
            <w:pPr>
              <w:pStyle w:val="a5"/>
              <w:ind w:firstLine="598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ЦФР начиная со дня, следующего за днем получения от Совета рынка уведомления со списком участников, указанного в п. 2.5.6 настоящего Регламента, не рассчитывает и не включает в Сводный реестр платежей, передаваемый в уполномоченную кредитную организацию, неустойку (пени) по обязательствам указанных участников по оплате электрической энергии и (или) мощности, а также услуг инфраструктурных организаций за расчетные периоды с 1 января 2022 года.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  <w:highlight w:val="yellow"/>
              </w:rPr>
              <w:t>КО не рассчитывает неустойку (пени) за нарушение участниками, указанными в п.</w:t>
            </w:r>
            <w:r w:rsidR="00C63C32">
              <w:rPr>
                <w:rFonts w:ascii="Garamond" w:hAnsi="Garamond"/>
                <w:color w:val="000000"/>
                <w:highlight w:val="yellow"/>
              </w:rPr>
              <w:t xml:space="preserve"> </w:t>
            </w:r>
            <w:r>
              <w:rPr>
                <w:rFonts w:ascii="Garamond" w:hAnsi="Garamond"/>
                <w:color w:val="000000"/>
                <w:highlight w:val="yellow"/>
              </w:rPr>
              <w:t>2.5.6 настоящего Регламента, сроков оплаты услуг КО за расчетные периоды с 1 марта 2022 года.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  <w:highlight w:val="yellow"/>
              </w:rPr>
            </w:pPr>
            <w:r>
              <w:rPr>
                <w:rFonts w:ascii="Garamond" w:hAnsi="Garamond"/>
                <w:color w:val="000000"/>
                <w:highlight w:val="yellow"/>
              </w:rPr>
              <w:t xml:space="preserve">Не позднее 1 апреля 2022 </w:t>
            </w:r>
            <w:r w:rsidR="00EF0F28">
              <w:rPr>
                <w:rFonts w:ascii="Garamond" w:hAnsi="Garamond"/>
                <w:color w:val="000000"/>
                <w:highlight w:val="yellow"/>
              </w:rPr>
              <w:t xml:space="preserve">года </w:t>
            </w:r>
            <w:r>
              <w:rPr>
                <w:rFonts w:ascii="Garamond" w:hAnsi="Garamond"/>
                <w:color w:val="000000"/>
                <w:highlight w:val="yellow"/>
              </w:rPr>
              <w:t>ЦФР прекращает уч</w:t>
            </w:r>
            <w:r w:rsidR="00C63C32">
              <w:rPr>
                <w:rFonts w:ascii="Garamond" w:hAnsi="Garamond"/>
                <w:color w:val="000000"/>
                <w:highlight w:val="yellow"/>
              </w:rPr>
              <w:t>е</w:t>
            </w:r>
            <w:r>
              <w:rPr>
                <w:rFonts w:ascii="Garamond" w:hAnsi="Garamond"/>
                <w:color w:val="000000"/>
                <w:highlight w:val="yellow"/>
              </w:rPr>
              <w:t>т неустойки (пени) за нарушение участниками, указанными в п.</w:t>
            </w:r>
            <w:r w:rsidR="00C63C32">
              <w:rPr>
                <w:rFonts w:ascii="Garamond" w:hAnsi="Garamond"/>
                <w:color w:val="000000"/>
                <w:highlight w:val="yellow"/>
              </w:rPr>
              <w:t xml:space="preserve"> </w:t>
            </w:r>
            <w:r>
              <w:rPr>
                <w:rFonts w:ascii="Garamond" w:hAnsi="Garamond"/>
                <w:color w:val="000000"/>
                <w:highlight w:val="yellow"/>
              </w:rPr>
              <w:t>2.5.6 настоящего Регламента, сроков оплаты услуг КО, рассчитанной КО за расчетные периоды январь и февраль 2022 года.</w:t>
            </w:r>
          </w:p>
          <w:p w:rsidR="00750AB4" w:rsidRDefault="00AE1CAA">
            <w:pPr>
              <w:widowControl w:val="0"/>
              <w:spacing w:before="120" w:after="120" w:line="240" w:lineRule="auto"/>
              <w:ind w:left="142" w:firstLine="618"/>
              <w:jc w:val="both"/>
              <w:outlineLvl w:val="2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ЦФР рассчитывает и включает в Сводный реестр платежей, передаваемый в уполномоченную кредитную организацию, неустойку (пени) по обязательствам указанных участников по оплате электрической энергии и (или) мощности, а также услуг инфраструктурных организаций с даты прекращения учета соглашений о порядке исполнения обязательств, заключенных этими участниками по форме приложения 114.15 к настоящему Регламенту в порядке, предусмотренном разделом 18</w:t>
            </w:r>
            <w:r>
              <w:rPr>
                <w:rFonts w:ascii="Garamond" w:hAnsi="Garamond"/>
              </w:rPr>
              <w:t>´</w:t>
            </w:r>
            <w:r>
              <w:rPr>
                <w:rFonts w:ascii="Garamond" w:hAnsi="Garamond"/>
                <w:color w:val="000000"/>
              </w:rPr>
              <w:t xml:space="preserve"> настоящего Регламента.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eastAsia="Times New Roman" w:hAnsi="Garamond"/>
                <w:color w:val="000000"/>
                <w:szCs w:val="20"/>
              </w:rPr>
            </w:pPr>
            <w:r>
              <w:rPr>
                <w:rFonts w:ascii="Garamond" w:hAnsi="Garamond"/>
                <w:color w:val="000000"/>
                <w:highlight w:val="yellow"/>
              </w:rPr>
              <w:t>КО рассчитывает неустойку (пени) за нарушение указанными участниками сроков оплаты услуг КО</w:t>
            </w:r>
            <w:r>
              <w:rPr>
                <w:highlight w:val="yellow"/>
              </w:rPr>
              <w:t xml:space="preserve"> </w:t>
            </w:r>
            <w:r>
              <w:rPr>
                <w:rFonts w:ascii="Garamond" w:hAnsi="Garamond"/>
                <w:color w:val="000000"/>
                <w:highlight w:val="yellow"/>
              </w:rPr>
              <w:t>с даты прекращения ЦФР учета соглашений о порядке исполнения обязательств, заключенных этими участниками по форме приложения 114.15 к настоящему Регламенту</w:t>
            </w:r>
            <w:r w:rsidR="00EF0F28">
              <w:rPr>
                <w:rFonts w:ascii="Garamond" w:hAnsi="Garamond"/>
                <w:color w:val="000000"/>
                <w:highlight w:val="yellow"/>
              </w:rPr>
              <w:t>,</w:t>
            </w:r>
            <w:r>
              <w:rPr>
                <w:rFonts w:ascii="Garamond" w:hAnsi="Garamond"/>
                <w:color w:val="000000"/>
                <w:highlight w:val="yellow"/>
              </w:rPr>
              <w:t xml:space="preserve"> в порядке, предусмотренном разделом 18´ настоящего Регламента.</w:t>
            </w:r>
          </w:p>
        </w:tc>
      </w:tr>
      <w:tr w:rsidR="00750AB4">
        <w:trPr>
          <w:trHeight w:val="64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0AB4" w:rsidRDefault="00AE1CAA" w:rsidP="00EF0F28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lastRenderedPageBreak/>
              <w:t>18´.23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B4" w:rsidRDefault="00AE1CAA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ЦФР принимает к учету соглашения о порядке исполнения обязательств 11.03.2022.</w:t>
            </w:r>
          </w:p>
          <w:p w:rsidR="00750AB4" w:rsidRDefault="00AE1CAA">
            <w:pPr>
              <w:pStyle w:val="a5"/>
              <w:ind w:left="567"/>
              <w:rPr>
                <w:rFonts w:ascii="Garamond" w:hAnsi="Garamond"/>
                <w:bCs/>
                <w:szCs w:val="22"/>
                <w:lang w:val="ru-RU"/>
              </w:rPr>
            </w:pPr>
            <w:r>
              <w:rPr>
                <w:rFonts w:ascii="Garamond" w:hAnsi="Garamond"/>
                <w:bCs/>
                <w:szCs w:val="22"/>
                <w:lang w:val="ru-RU"/>
              </w:rPr>
              <w:t>Начиная с 20.05.2022 ЦФР:</w:t>
            </w:r>
          </w:p>
          <w:p w:rsidR="00750AB4" w:rsidRDefault="00AE1CAA">
            <w:pPr>
              <w:pStyle w:val="a5"/>
              <w:numPr>
                <w:ilvl w:val="0"/>
                <w:numId w:val="12"/>
              </w:numPr>
              <w:tabs>
                <w:tab w:val="left" w:pos="758"/>
              </w:tabs>
              <w:ind w:left="0" w:firstLine="567"/>
              <w:rPr>
                <w:rFonts w:ascii="Garamond" w:hAnsi="Garamond"/>
                <w:bCs/>
                <w:szCs w:val="22"/>
                <w:lang w:val="ru-RU"/>
              </w:rPr>
            </w:pPr>
            <w:r>
              <w:rPr>
                <w:rFonts w:ascii="Garamond" w:hAnsi="Garamond"/>
                <w:bCs/>
                <w:szCs w:val="22"/>
                <w:lang w:val="ru-RU"/>
              </w:rPr>
              <w:t xml:space="preserve">в порядке и в сроки, установленные приложением 114.17 к настоящему Регламенту, в отношении соглашений о порядке исполнения обязательств, заключенных на условиях </w:t>
            </w:r>
            <w:r>
              <w:rPr>
                <w:rFonts w:ascii="Garamond" w:hAnsi="Garamond"/>
                <w:szCs w:val="22"/>
                <w:lang w:val="ru-RU"/>
              </w:rPr>
              <w:t>варианта 2 (Оплата денежными средствами с отсрочкой на 13 лет) приложения 2 к соглашению, формирует</w:t>
            </w:r>
            <w:r>
              <w:rPr>
                <w:rFonts w:ascii="Garamond" w:hAnsi="Garamond"/>
                <w:bCs/>
                <w:szCs w:val="22"/>
                <w:lang w:val="ru-RU"/>
              </w:rPr>
              <w:t xml:space="preserve"> обязательства по оплате с измененными сроками исполнения, предусмотренными данными соглашениями;</w:t>
            </w:r>
          </w:p>
          <w:p w:rsidR="00750AB4" w:rsidRDefault="00AE1CAA">
            <w:pPr>
              <w:pStyle w:val="a5"/>
              <w:numPr>
                <w:ilvl w:val="0"/>
                <w:numId w:val="12"/>
              </w:numPr>
              <w:ind w:left="0" w:firstLine="567"/>
              <w:rPr>
                <w:rFonts w:ascii="Garamond" w:hAnsi="Garamond"/>
                <w:bCs/>
                <w:szCs w:val="22"/>
                <w:lang w:val="ru-RU"/>
              </w:rPr>
            </w:pPr>
            <w:r>
              <w:rPr>
                <w:rFonts w:ascii="Garamond" w:hAnsi="Garamond"/>
                <w:bCs/>
                <w:szCs w:val="22"/>
                <w:lang w:val="ru-RU"/>
              </w:rPr>
              <w:t xml:space="preserve"> уведомляет покупателя и продавца об изменении дат платежа путем публикации отчета о состоянии обязательств в соответствии с разделом 9 настоящего Регламента</w:t>
            </w:r>
            <w:r>
              <w:rPr>
                <w:rFonts w:ascii="Garamond" w:hAnsi="Garamond"/>
                <w:szCs w:val="22"/>
                <w:lang w:val="ru-RU"/>
              </w:rPr>
              <w:t>.</w:t>
            </w:r>
          </w:p>
          <w:p w:rsidR="00750AB4" w:rsidRDefault="00750AB4">
            <w:pPr>
              <w:pStyle w:val="a5"/>
              <w:ind w:firstLine="567"/>
              <w:rPr>
                <w:rFonts w:ascii="Garamond" w:hAnsi="Garamond"/>
                <w:lang w:val="ru-RU"/>
              </w:rPr>
            </w:pP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B4" w:rsidRDefault="00AE1CAA">
            <w:pPr>
              <w:spacing w:before="120" w:after="120" w:line="240" w:lineRule="auto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ЦФР принимает к учету соглашения о порядке исполнения обязательств 11.03.2022.</w:t>
            </w:r>
          </w:p>
          <w:p w:rsidR="00750AB4" w:rsidRDefault="00AE1CAA">
            <w:pPr>
              <w:pStyle w:val="a5"/>
              <w:ind w:left="567"/>
              <w:rPr>
                <w:rFonts w:ascii="Garamond" w:hAnsi="Garamond"/>
                <w:bCs/>
                <w:szCs w:val="22"/>
                <w:lang w:val="ru-RU"/>
              </w:rPr>
            </w:pPr>
            <w:r>
              <w:rPr>
                <w:rFonts w:ascii="Garamond" w:hAnsi="Garamond"/>
                <w:bCs/>
                <w:szCs w:val="22"/>
                <w:lang w:val="ru-RU"/>
              </w:rPr>
              <w:t>Начиная с 20.05.2022 ЦФР:</w:t>
            </w:r>
          </w:p>
          <w:p w:rsidR="00750AB4" w:rsidRDefault="00AE1CAA">
            <w:pPr>
              <w:pStyle w:val="a5"/>
              <w:numPr>
                <w:ilvl w:val="0"/>
                <w:numId w:val="12"/>
              </w:numPr>
              <w:tabs>
                <w:tab w:val="left" w:pos="758"/>
              </w:tabs>
              <w:ind w:left="0" w:firstLine="567"/>
              <w:rPr>
                <w:rFonts w:ascii="Garamond" w:hAnsi="Garamond"/>
                <w:bCs/>
                <w:szCs w:val="22"/>
                <w:lang w:val="ru-RU"/>
              </w:rPr>
            </w:pPr>
            <w:r>
              <w:rPr>
                <w:rFonts w:ascii="Garamond" w:hAnsi="Garamond"/>
                <w:bCs/>
                <w:szCs w:val="22"/>
                <w:lang w:val="ru-RU"/>
              </w:rPr>
              <w:t xml:space="preserve">в порядке и в сроки, установленные приложением 114.17 к настоящему Регламенту, в отношении соглашений о порядке исполнения обязательств, заключенных на условиях </w:t>
            </w:r>
            <w:r>
              <w:rPr>
                <w:rFonts w:ascii="Garamond" w:hAnsi="Garamond"/>
                <w:szCs w:val="22"/>
                <w:lang w:val="ru-RU"/>
              </w:rPr>
              <w:t>варианта 2 (Оплата денежными средствами с отсрочкой на 13 лет) приложения 2 к соглашению, формирует</w:t>
            </w:r>
            <w:r>
              <w:rPr>
                <w:rFonts w:ascii="Garamond" w:hAnsi="Garamond"/>
                <w:bCs/>
                <w:szCs w:val="22"/>
                <w:lang w:val="ru-RU"/>
              </w:rPr>
              <w:t xml:space="preserve"> обязательства по оплате с измененными сроками исполнения, предусмотренными данными соглашениями;</w:t>
            </w:r>
          </w:p>
          <w:p w:rsidR="00750AB4" w:rsidRDefault="00AE1CAA">
            <w:pPr>
              <w:pStyle w:val="a5"/>
              <w:numPr>
                <w:ilvl w:val="0"/>
                <w:numId w:val="12"/>
              </w:numPr>
              <w:ind w:left="0" w:firstLine="567"/>
              <w:rPr>
                <w:rFonts w:ascii="Garamond" w:hAnsi="Garamond"/>
                <w:bCs/>
                <w:szCs w:val="22"/>
                <w:lang w:val="ru-RU"/>
              </w:rPr>
            </w:pPr>
            <w:r>
              <w:rPr>
                <w:rFonts w:ascii="Garamond" w:hAnsi="Garamond"/>
                <w:bCs/>
                <w:szCs w:val="22"/>
                <w:lang w:val="ru-RU"/>
              </w:rPr>
              <w:t>уведомляет покупателя и продавца об изменении дат платежа путем публикации отчета о состоянии обязательств в соответствии с разделом 9 настоящего Регламента</w:t>
            </w:r>
            <w:r>
              <w:rPr>
                <w:rFonts w:ascii="Garamond" w:hAnsi="Garamond"/>
                <w:szCs w:val="22"/>
                <w:lang w:val="ru-RU"/>
              </w:rPr>
              <w:t>.</w:t>
            </w:r>
          </w:p>
          <w:p w:rsidR="00750AB4" w:rsidRDefault="00AE1CAA" w:rsidP="00C63C32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highlight w:val="yellow"/>
              </w:rPr>
              <w:t>Ежемесячно, не позднее 20-го числа месяца, в котором ЦФР формирует</w:t>
            </w:r>
            <w:r>
              <w:rPr>
                <w:rFonts w:ascii="Garamond" w:hAnsi="Garamond"/>
                <w:bCs/>
                <w:highlight w:val="yellow"/>
              </w:rPr>
              <w:t xml:space="preserve"> обязательства по оплате с измененными сроками исполнения в соответствии с приложением 114.17 к настоящему Регламенту </w:t>
            </w:r>
            <w:r>
              <w:rPr>
                <w:rFonts w:ascii="Garamond" w:hAnsi="Garamond"/>
                <w:highlight w:val="yellow"/>
              </w:rPr>
              <w:t xml:space="preserve">(в отношении периодов с 01.01.2022 по 30.04.2022 </w:t>
            </w:r>
            <w:r w:rsidR="00C63C32">
              <w:rPr>
                <w:rFonts w:ascii="Garamond" w:hAnsi="Garamond"/>
                <w:highlight w:val="yellow"/>
              </w:rPr>
              <w:t>–</w:t>
            </w:r>
            <w:r>
              <w:rPr>
                <w:rFonts w:ascii="Garamond" w:hAnsi="Garamond"/>
                <w:highlight w:val="yellow"/>
              </w:rPr>
              <w:t xml:space="preserve"> не позднее 20.05.2022)</w:t>
            </w:r>
            <w:r>
              <w:rPr>
                <w:rFonts w:ascii="Garamond" w:hAnsi="Garamond"/>
                <w:bCs/>
                <w:highlight w:val="yellow"/>
              </w:rPr>
              <w:t>,</w:t>
            </w:r>
            <w:r>
              <w:rPr>
                <w:rFonts w:ascii="Garamond" w:hAnsi="Garamond"/>
                <w:highlight w:val="yellow"/>
              </w:rPr>
              <w:t xml:space="preserve"> ЦФР публикует покупателю и продавцу уведомление о величине обязательств, в отношении которых изменяется срок исполнения, по форме, установленной приложением 114.23 к настоящему Регламенту, в разделе с ограниченным в соответствии с Правилами ЭДО СЭД КО доступом на сайте КО</w:t>
            </w:r>
            <w:r w:rsidR="00EF0F28">
              <w:rPr>
                <w:rFonts w:ascii="Garamond" w:hAnsi="Garamond"/>
              </w:rPr>
              <w:t>.</w:t>
            </w:r>
          </w:p>
        </w:tc>
      </w:tr>
      <w:tr w:rsidR="00750AB4">
        <w:trPr>
          <w:trHeight w:val="64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0AB4" w:rsidRDefault="00AE1CAA" w:rsidP="00EF0F28">
            <w:pPr>
              <w:spacing w:after="0" w:line="240" w:lineRule="auto"/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18´.24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AB4" w:rsidRDefault="00AE1CAA">
            <w:pPr>
              <w:pStyle w:val="a5"/>
              <w:ind w:firstLine="567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…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При прекращении учета соглашений о порядке исполнения обязательств</w:t>
            </w:r>
            <w:r>
              <w:rPr>
                <w:rFonts w:ascii="Garamond" w:hAnsi="Garamond"/>
              </w:rPr>
              <w:t xml:space="preserve"> ЦФР: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– не включает </w:t>
            </w:r>
            <w:r>
              <w:rPr>
                <w:rFonts w:ascii="Garamond" w:hAnsi="Garamond"/>
              </w:rPr>
              <w:t>обязательства по оплате электрической энергии и (или) мощности, указанные в приложениях 2 к соглашениям о порядке исполнения обязательств,</w:t>
            </w:r>
            <w:r>
              <w:rPr>
                <w:rFonts w:ascii="Garamond" w:hAnsi="Garamond"/>
                <w:bCs/>
              </w:rPr>
              <w:t xml:space="preserve"> по которым </w:t>
            </w:r>
            <w:r>
              <w:rPr>
                <w:rFonts w:ascii="Garamond" w:hAnsi="Garamond"/>
              </w:rPr>
              <w:t>выбран вариант 1 исполнения обязательств (Оплата векселями)</w:t>
            </w:r>
            <w:r>
              <w:rPr>
                <w:rFonts w:ascii="Garamond" w:hAnsi="Garamond"/>
                <w:color w:val="000000"/>
              </w:rPr>
              <w:t>, срок исполнения которых наступил до даты прекращения учета соглашений о порядке исполнения обязательств, в Сводный реестр платежей участников оптового рынка;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– включает </w:t>
            </w:r>
            <w:r>
              <w:rPr>
                <w:rFonts w:ascii="Garamond" w:hAnsi="Garamond"/>
              </w:rPr>
              <w:t>обязательства по оплате электрической энергии и (или) мощности, указанные в приложениях 2 к соглашениям о порядке исполнения обязательств,</w:t>
            </w:r>
            <w:r>
              <w:rPr>
                <w:rFonts w:ascii="Garamond" w:hAnsi="Garamond"/>
                <w:bCs/>
              </w:rPr>
              <w:t xml:space="preserve"> по которым </w:t>
            </w:r>
            <w:r>
              <w:rPr>
                <w:rFonts w:ascii="Garamond" w:hAnsi="Garamond"/>
              </w:rPr>
              <w:t xml:space="preserve">выбран вариант 1 </w:t>
            </w:r>
            <w:r>
              <w:rPr>
                <w:rFonts w:ascii="Garamond" w:hAnsi="Garamond"/>
              </w:rPr>
              <w:lastRenderedPageBreak/>
              <w:t>исполнения обязательств (Оплата векселями)</w:t>
            </w:r>
            <w:r>
              <w:rPr>
                <w:rFonts w:ascii="Garamond" w:hAnsi="Garamond"/>
                <w:color w:val="000000"/>
              </w:rPr>
              <w:t>, срок исполнения которых наступает начиная с даты прекращения учета соглашений о порядке исполнения обязательств, в Сводный реестр платежей участников оптового рынка;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– включает </w:t>
            </w:r>
            <w:r>
              <w:rPr>
                <w:rFonts w:ascii="Garamond" w:hAnsi="Garamond"/>
              </w:rPr>
              <w:t>обязательства по оплате электрической энергии и (или) мощности, указанные в приложениях 2 к соглашениям о порядке исполнения обязательств,</w:t>
            </w:r>
            <w:r>
              <w:rPr>
                <w:rFonts w:ascii="Garamond" w:hAnsi="Garamond"/>
                <w:bCs/>
              </w:rPr>
              <w:t xml:space="preserve"> по которым </w:t>
            </w:r>
            <w:r>
              <w:rPr>
                <w:rFonts w:ascii="Garamond" w:hAnsi="Garamond"/>
              </w:rPr>
              <w:t>выбран вариант 2 исполнения обязательств (Оплата денежными средствами с отсрочкой на 13 лет)</w:t>
            </w:r>
            <w:r>
              <w:rPr>
                <w:rFonts w:ascii="Garamond" w:hAnsi="Garamond"/>
                <w:color w:val="000000"/>
              </w:rPr>
              <w:t>, измененный срок исполнения которых не наступил на дату прекращения учета соглашений о порядке исполнения обязательств, в Сводный реестр платежей участников оптового рынка с даты платежа – 14-е число месяца, в котором прекращен учет соглашений о порядке исполнения обязательств;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– не осуществляет действия, указанные в приложении 114.17 к настоящему Регламенту, с даты прекращения учета соглашений о порядке исполнения обязательств;</w:t>
            </w:r>
          </w:p>
          <w:p w:rsidR="00750AB4" w:rsidRDefault="00AE1CAA">
            <w:pPr>
              <w:pStyle w:val="a5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– уведомляет продавцов и соответствующего покупателя о прекращении учета соглашений о порядке исполнения обязательств</w:t>
            </w:r>
            <w:r>
              <w:rPr>
                <w:rFonts w:ascii="Garamond" w:hAnsi="Garamond"/>
                <w:szCs w:val="22"/>
                <w:lang w:val="ru-RU"/>
              </w:rPr>
              <w:t xml:space="preserve"> путем публикации уведомления в разделе с ограниченным в соответствии с Правилами ЭДО СЭД КО доступом персонально для каждого участника оптового рынка (по форме, установленной приложением 114.22 к настоящему Регламенту)</w:t>
            </w:r>
            <w:r>
              <w:rPr>
                <w:rFonts w:ascii="Garamond" w:hAnsi="Garamond"/>
                <w:color w:val="000000"/>
                <w:szCs w:val="22"/>
                <w:lang w:val="ru-RU"/>
              </w:rPr>
              <w:t>;</w:t>
            </w:r>
          </w:p>
          <w:p w:rsidR="00750AB4" w:rsidRDefault="00AE1CAA">
            <w:pPr>
              <w:pStyle w:val="a5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 xml:space="preserve">– </w:t>
            </w:r>
            <w:r>
              <w:rPr>
                <w:rFonts w:ascii="Garamond" w:hAnsi="Garamond"/>
                <w:szCs w:val="22"/>
                <w:lang w:val="ru-RU"/>
              </w:rPr>
              <w:t>уведомляет Совет рынка путем направления письма о наступлении события, указанного в подп. 1–8 настоящего пункта, на бумажном носителе за подписью уполномоченного лица.</w:t>
            </w:r>
          </w:p>
          <w:p w:rsidR="00750AB4" w:rsidRDefault="00AE1CAA">
            <w:pPr>
              <w:pStyle w:val="a5"/>
              <w:ind w:firstLine="567"/>
              <w:rPr>
                <w:rFonts w:ascii="Garamond" w:hAnsi="Garamond"/>
                <w:lang w:val="ru-RU"/>
              </w:rPr>
            </w:pPr>
            <w:r>
              <w:rPr>
                <w:rFonts w:ascii="Garamond" w:hAnsi="Garamond"/>
                <w:lang w:val="ru-RU"/>
              </w:rPr>
              <w:t>…</w:t>
            </w:r>
          </w:p>
        </w:tc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lastRenderedPageBreak/>
              <w:t>…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При прекращении учета соглашений о порядке исполнения обязательств</w:t>
            </w:r>
            <w:r>
              <w:rPr>
                <w:rFonts w:ascii="Garamond" w:hAnsi="Garamond"/>
              </w:rPr>
              <w:t xml:space="preserve"> ЦФР: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– не включает </w:t>
            </w:r>
            <w:r>
              <w:rPr>
                <w:rFonts w:ascii="Garamond" w:hAnsi="Garamond"/>
              </w:rPr>
              <w:t>обязательства по оплате электрической энергии и (или) мощности, указанные в приложениях 2 к соглашениям о порядке исполнения обязательств,</w:t>
            </w:r>
            <w:r>
              <w:rPr>
                <w:rFonts w:ascii="Garamond" w:hAnsi="Garamond"/>
                <w:bCs/>
              </w:rPr>
              <w:t xml:space="preserve"> по которым </w:t>
            </w:r>
            <w:r>
              <w:rPr>
                <w:rFonts w:ascii="Garamond" w:hAnsi="Garamond"/>
              </w:rPr>
              <w:t>выбран вариант 1 исполнения обязательств (Оплата векселями)</w:t>
            </w:r>
            <w:r>
              <w:rPr>
                <w:rFonts w:ascii="Garamond" w:hAnsi="Garamond"/>
                <w:color w:val="000000"/>
              </w:rPr>
              <w:t>, срок исполнения которых наступил до даты прекращения учета соглашений о порядке исполнения обязательств, в Сводный реестр платежей участников оптового рынка;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– включает </w:t>
            </w:r>
            <w:r>
              <w:rPr>
                <w:rFonts w:ascii="Garamond" w:hAnsi="Garamond"/>
              </w:rPr>
              <w:t>обязательства по оплате электрической энергии и (или) мощности, указанные в приложениях 2 к соглашениям о порядке исполнения обязательств,</w:t>
            </w:r>
            <w:r>
              <w:rPr>
                <w:rFonts w:ascii="Garamond" w:hAnsi="Garamond"/>
                <w:bCs/>
              </w:rPr>
              <w:t xml:space="preserve"> по которым </w:t>
            </w:r>
            <w:r>
              <w:rPr>
                <w:rFonts w:ascii="Garamond" w:hAnsi="Garamond"/>
              </w:rPr>
              <w:t>выбран вариант 1 исполнения обязательств (Оплата векселями)</w:t>
            </w:r>
            <w:r>
              <w:rPr>
                <w:rFonts w:ascii="Garamond" w:hAnsi="Garamond"/>
                <w:color w:val="000000"/>
              </w:rPr>
              <w:t xml:space="preserve">, срок исполнения которых наступает, начиная с даты </w:t>
            </w:r>
            <w:r>
              <w:rPr>
                <w:rFonts w:ascii="Garamond" w:hAnsi="Garamond"/>
                <w:color w:val="000000"/>
              </w:rPr>
              <w:lastRenderedPageBreak/>
              <w:t>прекращения учета соглашений о порядке исполнения обязательств, в Сводный реестр платежей участников оптового рынка;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– включает </w:t>
            </w:r>
            <w:r>
              <w:rPr>
                <w:rFonts w:ascii="Garamond" w:hAnsi="Garamond"/>
              </w:rPr>
              <w:t>обязательства по оплате электрической энергии и (или) мощности, указанные в приложениях 2 к соглашениям о порядке исполнения обязательств,</w:t>
            </w:r>
            <w:r>
              <w:rPr>
                <w:rFonts w:ascii="Garamond" w:hAnsi="Garamond"/>
                <w:bCs/>
              </w:rPr>
              <w:t xml:space="preserve"> по которым </w:t>
            </w:r>
            <w:r>
              <w:rPr>
                <w:rFonts w:ascii="Garamond" w:hAnsi="Garamond"/>
              </w:rPr>
              <w:t>выбран вариант 2 исполнения обязательств (Оплата денежными средствами с отсрочкой на 13 лет)</w:t>
            </w:r>
            <w:r>
              <w:rPr>
                <w:rFonts w:ascii="Garamond" w:hAnsi="Garamond"/>
                <w:color w:val="000000"/>
              </w:rPr>
              <w:t>, измененный срок исполнения которых не наступил на дату прекращения учета соглашений о порядке исполнения обязательств, в Сводный реестр платежей участников оптового рынка с даты платежа – 14-е число месяца, в котором прекращен учет соглашений о порядке исполнения обязательств;</w:t>
            </w:r>
          </w:p>
          <w:p w:rsidR="00750AB4" w:rsidRDefault="00AE1CAA">
            <w:pPr>
              <w:spacing w:before="120" w:after="120"/>
              <w:ind w:firstLine="567"/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– не осуществляет действия, указанные в приложении 114.17 к настоящему Регламенту, с даты прекращения учета соглашений о порядке исполнения обязательств;</w:t>
            </w:r>
          </w:p>
          <w:p w:rsidR="00750AB4" w:rsidRDefault="00AE1CAA">
            <w:pPr>
              <w:pStyle w:val="a5"/>
              <w:ind w:firstLine="567"/>
              <w:rPr>
                <w:rFonts w:ascii="Garamond" w:hAnsi="Garamond"/>
                <w:color w:val="000000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>– уведомляет продавцов и соответствующего покупателя о прекращении учета соглашений о порядке исполнения обязательств</w:t>
            </w:r>
            <w:r>
              <w:rPr>
                <w:rFonts w:ascii="Garamond" w:hAnsi="Garamond"/>
                <w:szCs w:val="22"/>
                <w:lang w:val="ru-RU"/>
              </w:rPr>
              <w:t xml:space="preserve"> путем публикации уведомления в разделе с ограниченным в соответствии с Правилами ЭДО СЭД КО доступом персонально для каждого участника оптового рынка (по форме, установленной приложением 114.22 к настоящему Регламенту)</w:t>
            </w:r>
            <w:r>
              <w:rPr>
                <w:rFonts w:ascii="Garamond" w:hAnsi="Garamond"/>
                <w:color w:val="000000"/>
                <w:szCs w:val="22"/>
                <w:lang w:val="ru-RU"/>
              </w:rPr>
              <w:t>;</w:t>
            </w:r>
          </w:p>
          <w:p w:rsidR="00750AB4" w:rsidRDefault="00AE1CAA">
            <w:pPr>
              <w:pStyle w:val="a5"/>
              <w:ind w:firstLine="567"/>
              <w:rPr>
                <w:rFonts w:ascii="Garamond" w:hAnsi="Garamond"/>
                <w:szCs w:val="22"/>
                <w:lang w:val="ru-RU"/>
              </w:rPr>
            </w:pPr>
            <w:r>
              <w:rPr>
                <w:rFonts w:ascii="Garamond" w:hAnsi="Garamond"/>
                <w:color w:val="000000"/>
                <w:szCs w:val="22"/>
                <w:lang w:val="ru-RU"/>
              </w:rPr>
              <w:t xml:space="preserve">– </w:t>
            </w:r>
            <w:r>
              <w:rPr>
                <w:rFonts w:ascii="Garamond" w:hAnsi="Garamond"/>
                <w:szCs w:val="22"/>
                <w:lang w:val="ru-RU"/>
              </w:rPr>
              <w:t xml:space="preserve">уведомляет </w:t>
            </w:r>
            <w:r>
              <w:rPr>
                <w:rFonts w:ascii="Garamond" w:hAnsi="Garamond"/>
                <w:szCs w:val="22"/>
                <w:highlight w:val="yellow"/>
                <w:lang w:val="ru-RU"/>
              </w:rPr>
              <w:t>КО и</w:t>
            </w:r>
            <w:r>
              <w:rPr>
                <w:rFonts w:ascii="Garamond" w:hAnsi="Garamond"/>
                <w:szCs w:val="22"/>
                <w:lang w:val="ru-RU"/>
              </w:rPr>
              <w:t xml:space="preserve"> Совет рынка путем направления письма о наступлении события, указанного в подп. 1–8 настоящего пункта, на бумажном носителе за подписью уполномоченного лица.</w:t>
            </w:r>
          </w:p>
          <w:p w:rsidR="00750AB4" w:rsidRDefault="00AE1CAA">
            <w:pPr>
              <w:pStyle w:val="a5"/>
              <w:ind w:firstLine="567"/>
              <w:rPr>
                <w:rFonts w:ascii="Garamond" w:hAnsi="Garamond"/>
                <w:color w:val="000000"/>
                <w:lang w:val="ru-RU"/>
              </w:rPr>
            </w:pPr>
            <w:r>
              <w:rPr>
                <w:rFonts w:ascii="Garamond" w:hAnsi="Garamond"/>
                <w:szCs w:val="22"/>
                <w:lang w:val="ru-RU"/>
              </w:rPr>
              <w:t>…</w:t>
            </w:r>
          </w:p>
        </w:tc>
      </w:tr>
    </w:tbl>
    <w:p w:rsidR="00750AB4" w:rsidRDefault="00750AB4">
      <w:pPr>
        <w:spacing w:after="0" w:line="240" w:lineRule="auto"/>
      </w:pPr>
    </w:p>
    <w:p w:rsidR="00750AB4" w:rsidRDefault="00750AB4">
      <w:pPr>
        <w:rPr>
          <w:rFonts w:ascii="Garamond" w:hAnsi="Garamond"/>
          <w:b/>
        </w:rPr>
      </w:pPr>
    </w:p>
    <w:p w:rsidR="00750AB4" w:rsidRDefault="00750AB4">
      <w:pPr>
        <w:rPr>
          <w:rFonts w:ascii="Garamond" w:hAnsi="Garamond"/>
          <w:b/>
        </w:rPr>
      </w:pPr>
    </w:p>
    <w:p w:rsidR="00750AB4" w:rsidRDefault="00750AB4">
      <w:pPr>
        <w:rPr>
          <w:rFonts w:ascii="Garamond" w:hAnsi="Garamond"/>
          <w:b/>
        </w:rPr>
      </w:pPr>
    </w:p>
    <w:p w:rsidR="00750AB4" w:rsidRDefault="00750AB4">
      <w:pPr>
        <w:rPr>
          <w:rFonts w:ascii="Garamond" w:hAnsi="Garamond"/>
          <w:b/>
        </w:rPr>
      </w:pPr>
    </w:p>
    <w:p w:rsidR="00750AB4" w:rsidRDefault="00750AB4">
      <w:pPr>
        <w:rPr>
          <w:rFonts w:ascii="Garamond" w:hAnsi="Garamond"/>
          <w:b/>
        </w:rPr>
      </w:pPr>
    </w:p>
    <w:p w:rsidR="00750AB4" w:rsidRDefault="00AE1CAA" w:rsidP="00C63C32">
      <w:pPr>
        <w:pStyle w:val="3"/>
        <w:jc w:val="left"/>
      </w:pPr>
      <w:r w:rsidRPr="00C63C32">
        <w:lastRenderedPageBreak/>
        <w:t>Добавить приложение</w:t>
      </w:r>
    </w:p>
    <w:p w:rsidR="00750AB4" w:rsidRDefault="00AE1CAA" w:rsidP="00C63C32">
      <w:pPr>
        <w:pStyle w:val="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Приложение 114.23</w:t>
      </w:r>
    </w:p>
    <w:tbl>
      <w:tblPr>
        <w:tblW w:w="13412" w:type="dxa"/>
        <w:tblLook w:val="04A0" w:firstRow="1" w:lastRow="0" w:firstColumn="1" w:lastColumn="0" w:noHBand="0" w:noVBand="1"/>
      </w:tblPr>
      <w:tblGrid>
        <w:gridCol w:w="2139"/>
        <w:gridCol w:w="2256"/>
        <w:gridCol w:w="1984"/>
        <w:gridCol w:w="1985"/>
        <w:gridCol w:w="2369"/>
        <w:gridCol w:w="2679"/>
      </w:tblGrid>
      <w:tr w:rsidR="00750AB4">
        <w:trPr>
          <w:trHeight w:val="630"/>
        </w:trPr>
        <w:tc>
          <w:tcPr>
            <w:tcW w:w="13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AE1CAA" w:rsidP="00BC37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ru-RU"/>
              </w:rPr>
              <w:t xml:space="preserve">Уведомление о величине обязательств, в отношении которых изменяется срок исполнения в соответствии с соглашением о порядке исполнения обязательств </w:t>
            </w:r>
          </w:p>
        </w:tc>
      </w:tr>
      <w:tr w:rsidR="00750AB4">
        <w:trPr>
          <w:trHeight w:val="398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№ Соглашения: 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0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Расчетный период: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дд.мм.гггг – дд.мм.гггг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39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Наименование </w:t>
            </w:r>
            <w:r w:rsidR="00716AA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родавца:  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(Краткое наименование)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Код </w:t>
            </w:r>
            <w:r w:rsidR="00716AA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родавца: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XXXXXXXX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398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Наименование </w:t>
            </w:r>
            <w:r w:rsidR="00716AA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окупателя:  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(Краткое наименование)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 xml:space="preserve">Код </w:t>
            </w:r>
            <w:r w:rsidR="00716AAF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окупателя: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XXXXXXXX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2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Величина, подлежащая отсрочке: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Сумма (S)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vertAlign w:val="superscript"/>
                <w:lang w:eastAsia="ru-RU"/>
              </w:rPr>
              <w:t>1</w:t>
            </w:r>
          </w:p>
        </w:tc>
      </w:tr>
      <w:tr w:rsidR="00750AB4">
        <w:trPr>
          <w:trHeight w:val="2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На начало расч</w:t>
            </w:r>
            <w:r w:rsidR="00716AA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тного периода (перенес</w:t>
            </w:r>
            <w:r w:rsidR="00716AA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нная из предыдущего периода)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Расчетная величина в текущем периоде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Учт</w:t>
            </w:r>
            <w:r w:rsidR="00716AA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нная в текущем периоде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78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 w:rsidP="00716AAF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Не</w:t>
            </w:r>
            <w:r w:rsidR="00716AA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учтенная величина на конец расч</w:t>
            </w:r>
            <w:r w:rsidR="00716AA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тного периода (отнес</w:t>
            </w:r>
            <w:r w:rsidR="00716AA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нная на следующий период)</w:t>
            </w:r>
          </w:p>
        </w:tc>
        <w:tc>
          <w:tcPr>
            <w:tcW w:w="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51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Идентификационный номер обязательства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Номер договора РД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Период обязательства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обязательства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Сумма обязательства по РД (qi)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Заблокированная сумма обязательств РД (Ni)</w:t>
            </w:r>
          </w:p>
        </w:tc>
      </w:tr>
      <w:tr w:rsidR="00750AB4">
        <w:trPr>
          <w:trHeight w:val="7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6</w:t>
            </w: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255"/>
        </w:trPr>
        <w:tc>
          <w:tcPr>
            <w:tcW w:w="107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AB4" w:rsidRDefault="00AE1CAA" w:rsidP="00BC37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Расч</w:t>
            </w:r>
            <w:r w:rsidR="000B4D15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т величины, подлежащей отсрочке в текущем периоде</w:t>
            </w: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510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Сектор ОРЭМ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Сумма итоговых обязательств за расчетный период (Q)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103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191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…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349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Итого: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eastAsia="Times New Roman"/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496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Коэффициент для расчета величины обязательств, подлежащих отсрочке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AB4" w:rsidRDefault="00750A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532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B4" w:rsidRDefault="00AE1CAA" w:rsidP="00BC374E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Расчетная величина, подлежащая отсрочке в текущем периоде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B4" w:rsidRDefault="00AE1CAA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5"/>
                <w:szCs w:val="15"/>
                <w:lang w:eastAsia="ru-RU"/>
              </w:rPr>
            </w:pPr>
          </w:p>
        </w:tc>
      </w:tr>
      <w:tr w:rsidR="00750AB4">
        <w:trPr>
          <w:trHeight w:val="255"/>
        </w:trPr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AB4" w:rsidRDefault="00750A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50AB4">
        <w:trPr>
          <w:trHeight w:val="300"/>
        </w:trPr>
        <w:tc>
          <w:tcPr>
            <w:tcW w:w="1341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50AB4" w:rsidRDefault="00AE1C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Условные обозначения</w:t>
            </w:r>
            <w:r w:rsidR="00904065">
              <w:rPr>
                <w:rFonts w:eastAsia="Times New Roman"/>
                <w:sz w:val="16"/>
                <w:szCs w:val="16"/>
                <w:lang w:eastAsia="ru-RU"/>
              </w:rPr>
              <w:t xml:space="preserve"> приводятся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/>
                <w:sz w:val="16"/>
                <w:szCs w:val="16"/>
                <w:lang w:eastAsia="ru-RU"/>
              </w:rPr>
              <w:t>в соответствии с приложением 114.17 к Регламенту финансовых расчетов на оптовом рынке электроэнергии.</w:t>
            </w:r>
          </w:p>
        </w:tc>
      </w:tr>
    </w:tbl>
    <w:p w:rsidR="00750AB4" w:rsidRDefault="00750AB4">
      <w:pPr>
        <w:rPr>
          <w:rFonts w:ascii="Garamond" w:hAnsi="Garamond"/>
          <w:b/>
        </w:rPr>
        <w:sectPr w:rsidR="00750AB4">
          <w:pgSz w:w="16838" w:h="11906" w:orient="landscape"/>
          <w:pgMar w:top="1418" w:right="1134" w:bottom="568" w:left="1134" w:header="708" w:footer="708" w:gutter="0"/>
          <w:cols w:space="708"/>
          <w:titlePg/>
          <w:docGrid w:linePitch="360"/>
        </w:sectPr>
      </w:pPr>
    </w:p>
    <w:p w:rsidR="00750AB4" w:rsidRDefault="00AE1CAA">
      <w:pPr>
        <w:rPr>
          <w:rFonts w:ascii="Garamond" w:hAnsi="Garamond"/>
          <w:b/>
        </w:rPr>
      </w:pPr>
      <w:r w:rsidRPr="00C63C32">
        <w:rPr>
          <w:rFonts w:ascii="Garamond" w:hAnsi="Garamond"/>
          <w:b/>
        </w:rPr>
        <w:lastRenderedPageBreak/>
        <w:t>Действующая редакция</w:t>
      </w:r>
      <w:r>
        <w:rPr>
          <w:rFonts w:ascii="Garamond" w:hAnsi="Garamond"/>
          <w:b/>
        </w:rPr>
        <w:t xml:space="preserve"> </w:t>
      </w:r>
    </w:p>
    <w:p w:rsidR="00750AB4" w:rsidRDefault="00AE1CAA" w:rsidP="00C63C32">
      <w:pPr>
        <w:pStyle w:val="3"/>
      </w:pPr>
      <w:r>
        <w:t xml:space="preserve">                                                                                                                                   Приложение 114.17</w:t>
      </w:r>
    </w:p>
    <w:p w:rsidR="00750AB4" w:rsidRDefault="00AE1CA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Методика формирования обязательств</w:t>
      </w:r>
      <w:r>
        <w:t xml:space="preserve"> </w:t>
      </w:r>
      <w:r>
        <w:rPr>
          <w:rFonts w:ascii="Garamond" w:hAnsi="Garamond"/>
          <w:b/>
        </w:rPr>
        <w:t xml:space="preserve">участников оптового рынка, заключивших соглашения о порядке исполнения обязательств на условиях варианта 2 приложения 2 к форме соглашения, предусмотренной приложением 114.15 к настоящему Регламенту </w:t>
      </w:r>
    </w:p>
    <w:p w:rsidR="00750AB4" w:rsidRDefault="00750AB4">
      <w:pPr>
        <w:spacing w:after="0"/>
        <w:ind w:firstLine="567"/>
        <w:jc w:val="both"/>
        <w:rPr>
          <w:rFonts w:ascii="Garamond" w:hAnsi="Garamond"/>
        </w:rPr>
      </w:pPr>
    </w:p>
    <w:p w:rsidR="00750AB4" w:rsidRDefault="00AE1CAA">
      <w:pPr>
        <w:spacing w:before="120" w:after="120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ЦФР на основании настоящей Методики формирует обязательства,</w:t>
      </w:r>
      <w:r>
        <w:t xml:space="preserve"> </w:t>
      </w:r>
      <w:r>
        <w:rPr>
          <w:rFonts w:ascii="Garamond" w:hAnsi="Garamond"/>
        </w:rPr>
        <w:t>в отношении которых изменяется срок исполнения обязательств в соответствии с соглашениями о порядке исполнения обязательств, заключенными на условиях варианта 2 приложения 2 к форме соглашения, предусмотренной приложением 114.15 к настоящему Регламенту.</w:t>
      </w:r>
    </w:p>
    <w:p w:rsidR="00750AB4" w:rsidRDefault="00AE1CAA">
      <w:pPr>
        <w:spacing w:before="120" w:after="120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ЦФР ежемесячно не позднее 20-го числа месяца, следующего за расчетным (в отношении расчетных периодов с 01.01.2022 по 30.04.2022 не позднее 20.05.2022), определяет размер обязательств</w:t>
      </w:r>
      <w:r>
        <w:t xml:space="preserve"> </w:t>
      </w:r>
      <w:r>
        <w:rPr>
          <w:rFonts w:ascii="Garamond" w:hAnsi="Garamond"/>
        </w:rPr>
        <w:t xml:space="preserve">участника оптового рынка – покупателя перед участником оптового рынка – продавцом, заключившими Соглашение о порядке исполнения обязательств (далее – покупатель, продавец), по которым изменяется срок исполнения в соответствии с условиями Соглашения о порядке исполнения обязательств, в следующем порядке. </w:t>
      </w:r>
    </w:p>
    <w:p w:rsidR="00750AB4" w:rsidRDefault="00AE1CAA">
      <w:pPr>
        <w:pStyle w:val="12"/>
        <w:numPr>
          <w:ilvl w:val="0"/>
          <w:numId w:val="20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Определяется сумма обязательств покупателя перед продавцом по оплате электрической энергии и (или) мощности по договорам, заключенным на оптовом рынке, содержащаяся в итоговых (фактических) реестрах обязательств, полученных от КО за расчетный период, предшествующий месяцу, в котором ЦФР осуществляет указанные действия (в мае 2022 года – за расчетные периоды с 01.01.2022 по 30.04.2022).</w:t>
      </w:r>
    </w:p>
    <w:p w:rsidR="00750AB4" w:rsidRDefault="00AE1CAA">
      <w:pPr>
        <w:pStyle w:val="12"/>
        <w:numPr>
          <w:ilvl w:val="0"/>
          <w:numId w:val="20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highlight w:val="yellow"/>
        </w:rPr>
        <w:t>Определяется</w:t>
      </w:r>
      <w:r>
        <w:rPr>
          <w:rFonts w:ascii="Garamond" w:hAnsi="Garamond"/>
        </w:rPr>
        <w:t xml:space="preserve"> величина, соответствующая стоимости электроэнергии, полученной ЦФР от продавца по договорам комиссии на РСВ и БР и переданной покупателю по договорам купли-продажи на РСВ и БР, за расчетный период, предшествующий месяцу, в котором ЦФР осуществляет указанные действия (в мае 2022 года – за расчетные периоды с 01.01.2022 по 30.04.2022), в результате построения фактической матрицы прикрепления в соответствии с порядком, описанным в приложении 53.1 к настоящему Регламенту.</w:t>
      </w:r>
    </w:p>
    <w:p w:rsidR="00750AB4" w:rsidRDefault="00AE1CAA">
      <w:pPr>
        <w:pStyle w:val="12"/>
        <w:numPr>
          <w:ilvl w:val="0"/>
          <w:numId w:val="20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Определяется величина </w:t>
      </w:r>
      <w:r>
        <w:rPr>
          <w:rFonts w:ascii="Garamond" w:hAnsi="Garamond"/>
          <w:i/>
          <w:lang w:val="en-US"/>
        </w:rPr>
        <w:t>S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соответствующая размеру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обязательств, срок исполнения которых подлежит изменению, по формуле:</w:t>
      </w:r>
    </w:p>
    <w:p w:rsidR="00750AB4" w:rsidRDefault="00AE1CAA">
      <w:pPr>
        <w:pStyle w:val="12"/>
        <w:spacing w:before="120" w:after="120" w:line="240" w:lineRule="auto"/>
        <w:ind w:left="1077"/>
        <w:contextualSpacing w:val="0"/>
        <w:jc w:val="center"/>
        <w:rPr>
          <w:rFonts w:ascii="Garamond" w:hAnsi="Garamond"/>
        </w:rPr>
      </w:pPr>
      <w:r>
        <w:rPr>
          <w:rFonts w:ascii="Garamond" w:hAnsi="Garamond"/>
          <w:i/>
          <w:lang w:val="en-US"/>
        </w:rPr>
        <w:t>S</w:t>
      </w:r>
      <w:r>
        <w:rPr>
          <w:rFonts w:ascii="Garamond" w:hAnsi="Garamond"/>
        </w:rPr>
        <w:t xml:space="preserve"> = (1 - </w:t>
      </w:r>
      <w:r>
        <w:rPr>
          <w:rFonts w:ascii="Garamond" w:hAnsi="Garamond"/>
          <w:position w:val="-24"/>
        </w:rPr>
        <w:object w:dxaOrig="6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pt;height:31.25pt" o:ole="">
            <v:imagedata r:id="rId7" o:title=""/>
          </v:shape>
          <o:OLEObject Type="Embed" ProgID="Equation.3" ShapeID="_x0000_i1025" DrawAspect="Content" ObjectID="_1709013115" r:id="rId8"/>
        </w:object>
      </w:r>
      <w:r>
        <w:rPr>
          <w:rFonts w:ascii="Garamond" w:hAnsi="Garamond"/>
        </w:rPr>
        <w:t xml:space="preserve">) × </w:t>
      </w: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</w:rPr>
        <w:t xml:space="preserve">, </w:t>
      </w:r>
    </w:p>
    <w:p w:rsidR="00750AB4" w:rsidRDefault="00AE1CAA">
      <w:pPr>
        <w:pStyle w:val="12"/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где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  <w:lang w:val="en-US"/>
        </w:rPr>
        <w:t>k</w:t>
      </w:r>
      <w:r>
        <w:rPr>
          <w:rFonts w:ascii="Garamond" w:hAnsi="Garamond"/>
        </w:rPr>
        <w:t xml:space="preserve"> – процент оплаты электрической энергии и мощности по договорам, заключенным на оптовом рынке, денежными средствами через уполномоченную кредитную организацию в соответствии с условиями варианта 2 приложения 2 к Соглашению о порядке исполнения обязательств;</w:t>
      </w:r>
    </w:p>
    <w:p w:rsidR="00750AB4" w:rsidRDefault="00AE1CAA">
      <w:pPr>
        <w:pStyle w:val="12"/>
        <w:spacing w:before="120" w:after="120" w:line="240" w:lineRule="auto"/>
        <w:ind w:left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  <w:i/>
        </w:rPr>
        <w:t xml:space="preserve"> – </w:t>
      </w:r>
      <w:r>
        <w:rPr>
          <w:rFonts w:ascii="Garamond" w:hAnsi="Garamond"/>
        </w:rPr>
        <w:t xml:space="preserve">сумма обязательств, определенных в соответствии с пунктом 1, и величины, определенной в соответствии с пунктом 2 настоящей Методики. </w:t>
      </w:r>
    </w:p>
    <w:p w:rsidR="00750AB4" w:rsidRDefault="00AE1CAA">
      <w:pPr>
        <w:pStyle w:val="12"/>
        <w:numPr>
          <w:ilvl w:val="0"/>
          <w:numId w:val="20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Определяется размер величины (</w:t>
      </w:r>
      <w:r>
        <w:rPr>
          <w:rFonts w:ascii="Garamond" w:hAnsi="Garamond"/>
          <w:i/>
          <w:lang w:val="en-US"/>
        </w:rPr>
        <w:t>N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 xml:space="preserve">) по каждому неисполненному обязательству </w:t>
      </w: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 xml:space="preserve"> за расчетный период,</w:t>
      </w:r>
      <w:r>
        <w:t xml:space="preserve"> </w:t>
      </w:r>
      <w:r>
        <w:rPr>
          <w:rFonts w:ascii="Garamond" w:hAnsi="Garamond"/>
        </w:rPr>
        <w:t>предшествующий месяцу, в котором ЦФР осуществляет указанные действия (в мае 2022 года – за расчетные периоды с 01.01.2022 по 30.04.2022), по регулируемому договору купли-продажи электрической энергии и мощности (далее – РД), заключенному между покупателем и продавцом, который не подлежит исполнению через уполномоченную кредитную организацию, по формуле:</w:t>
      </w:r>
    </w:p>
    <w:p w:rsidR="00750AB4" w:rsidRDefault="00AE1CAA">
      <w:pPr>
        <w:pStyle w:val="12"/>
        <w:tabs>
          <w:tab w:val="left" w:pos="993"/>
        </w:tabs>
        <w:spacing w:before="120" w:after="120" w:line="240" w:lineRule="auto"/>
        <w:ind w:left="0" w:firstLine="567"/>
        <w:contextualSpacing w:val="0"/>
        <w:jc w:val="center"/>
        <w:rPr>
          <w:rFonts w:ascii="Garamond" w:hAnsi="Garamond"/>
        </w:rPr>
      </w:pPr>
      <w:r>
        <w:rPr>
          <w:rFonts w:ascii="Garamond" w:hAnsi="Garamond"/>
          <w:position w:val="-32"/>
        </w:rPr>
        <w:object w:dxaOrig="1460" w:dyaOrig="700">
          <v:shape id="_x0000_i1026" type="#_x0000_t75" style="width:74.05pt;height:34.65pt" o:ole="">
            <v:imagedata r:id="rId9" o:title=""/>
          </v:shape>
          <o:OLEObject Type="Embed" ProgID="Equation.3" ShapeID="_x0000_i1026" DrawAspect="Content" ObjectID="_1709013116" r:id="rId10"/>
        </w:object>
      </w:r>
      <w:r w:rsidRPr="00C63C32">
        <w:rPr>
          <w:rFonts w:ascii="Garamond" w:hAnsi="Garamond"/>
          <w:highlight w:val="yellow"/>
        </w:rPr>
        <w:t>.</w:t>
      </w:r>
    </w:p>
    <w:p w:rsidR="00750AB4" w:rsidRDefault="00AE1CAA">
      <w:pPr>
        <w:pStyle w:val="12"/>
        <w:widowControl w:val="0"/>
        <w:numPr>
          <w:ilvl w:val="0"/>
          <w:numId w:val="20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 w:rsidRPr="00C63C32">
        <w:rPr>
          <w:rFonts w:ascii="Garamond" w:hAnsi="Garamond"/>
          <w:highlight w:val="yellow"/>
        </w:rPr>
        <w:t>О</w:t>
      </w:r>
      <w:r>
        <w:rPr>
          <w:rFonts w:ascii="Garamond" w:hAnsi="Garamond"/>
        </w:rPr>
        <w:t xml:space="preserve">бязательство </w:t>
      </w: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  <w:vertAlign w:val="subscript"/>
        </w:rPr>
        <w:t xml:space="preserve"> </w:t>
      </w:r>
      <w:r>
        <w:rPr>
          <w:rFonts w:ascii="Garamond" w:hAnsi="Garamond"/>
        </w:rPr>
        <w:t xml:space="preserve">по РД блокируется (не включается в Сводный реестр платежей участников оптового рынка, в соответствии с которым уполномоченная кредитная организация производит списание денежных средств с торгового счета участника-покупателя) в размере величины </w:t>
      </w:r>
      <w:r>
        <w:rPr>
          <w:rFonts w:ascii="Garamond" w:hAnsi="Garamond"/>
          <w:i/>
          <w:lang w:val="en-US"/>
        </w:rPr>
        <w:t>N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>.</w:t>
      </w:r>
    </w:p>
    <w:p w:rsidR="00750AB4" w:rsidRDefault="00AE1CAA">
      <w:pPr>
        <w:spacing w:before="120" w:after="120"/>
        <w:ind w:firstLine="567"/>
        <w:jc w:val="both"/>
      </w:pPr>
      <w:r>
        <w:rPr>
          <w:rFonts w:ascii="Garamond" w:hAnsi="Garamond"/>
        </w:rPr>
        <w:t xml:space="preserve">ЦФР не позднее последнего рабочего дня месяца (в мае 2022 года – не позднее 31.05.2022) прекращает учет обязательств по РД в размере заблокированной величины </w:t>
      </w:r>
      <w:r>
        <w:rPr>
          <w:rFonts w:ascii="Garamond" w:hAnsi="Garamond"/>
          <w:i/>
          <w:lang w:val="en-US"/>
        </w:rPr>
        <w:t>N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 xml:space="preserve"> и создает соответствующие новые обязательства с датой платежа </w:t>
      </w:r>
      <w:r>
        <w:rPr>
          <w:rFonts w:ascii="Garamond" w:hAnsi="Garamond"/>
          <w:i/>
          <w:lang w:val="en-US"/>
        </w:rPr>
        <w:t>D</w:t>
      </w:r>
      <w:r>
        <w:rPr>
          <w:rFonts w:ascii="Garamond" w:hAnsi="Garamond"/>
          <w:i/>
        </w:rPr>
        <w:t xml:space="preserve"> (</w:t>
      </w:r>
      <w:r>
        <w:rPr>
          <w:rFonts w:ascii="Garamond" w:hAnsi="Garamond"/>
          <w:i/>
          <w:lang w:val="en-US"/>
        </w:rPr>
        <w:t>D</w:t>
      </w:r>
      <w:r>
        <w:rPr>
          <w:rFonts w:ascii="Garamond" w:hAnsi="Garamond"/>
          <w:i/>
        </w:rPr>
        <w:t xml:space="preserve"> – </w:t>
      </w:r>
      <w:r>
        <w:rPr>
          <w:rFonts w:ascii="Garamond" w:hAnsi="Garamond"/>
        </w:rPr>
        <w:t xml:space="preserve">28 марта года </w:t>
      </w:r>
      <w:r>
        <w:rPr>
          <w:rFonts w:ascii="Garamond" w:hAnsi="Garamond"/>
          <w:i/>
          <w:lang w:val="en-US"/>
        </w:rPr>
        <w:t>X</w:t>
      </w:r>
      <w:r>
        <w:rPr>
          <w:rFonts w:ascii="Garamond" w:hAnsi="Garamond"/>
          <w:i/>
        </w:rPr>
        <w:t>+</w:t>
      </w:r>
      <w:r>
        <w:rPr>
          <w:rFonts w:ascii="Garamond" w:hAnsi="Garamond"/>
        </w:rPr>
        <w:t>14, где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  <w:lang w:val="en-US"/>
        </w:rPr>
        <w:t>X</w:t>
      </w:r>
      <w:r>
        <w:rPr>
          <w:rFonts w:ascii="Garamond" w:hAnsi="Garamond"/>
        </w:rPr>
        <w:t xml:space="preserve"> – год расчетного периода, предшествующего месяцу, в котором ЦФР формируются обязательства в соответствии с настоящей Методикой). </w:t>
      </w:r>
    </w:p>
    <w:p w:rsidR="00750AB4" w:rsidRDefault="00AE1CAA">
      <w:r>
        <w:br w:type="page"/>
      </w:r>
    </w:p>
    <w:p w:rsidR="00750AB4" w:rsidRDefault="00AE1CAA">
      <w:r w:rsidRPr="00C63C32">
        <w:rPr>
          <w:rFonts w:ascii="Garamond" w:hAnsi="Garamond"/>
          <w:b/>
        </w:rPr>
        <w:lastRenderedPageBreak/>
        <w:t>Предлагаемая редакция</w:t>
      </w:r>
    </w:p>
    <w:p w:rsidR="00750AB4" w:rsidRDefault="00AE1CAA" w:rsidP="00C63C32">
      <w:pPr>
        <w:pStyle w:val="3"/>
      </w:pPr>
      <w:r>
        <w:t>Приложение 114.17</w:t>
      </w:r>
    </w:p>
    <w:p w:rsidR="00750AB4" w:rsidRDefault="00AE1CA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Методика формирования обязательств</w:t>
      </w:r>
      <w:r>
        <w:t xml:space="preserve"> </w:t>
      </w:r>
      <w:r>
        <w:rPr>
          <w:rFonts w:ascii="Garamond" w:hAnsi="Garamond"/>
          <w:b/>
        </w:rPr>
        <w:t xml:space="preserve">участников оптового рынка, заключивших соглашения о порядке исполнения обязательств на условиях варианта 2 приложения 2 к форме соглашения, предусмотренной приложением 114.15 к настоящему Регламенту </w:t>
      </w:r>
    </w:p>
    <w:p w:rsidR="00750AB4" w:rsidRDefault="00750AB4">
      <w:pPr>
        <w:spacing w:after="0"/>
        <w:ind w:firstLine="567"/>
        <w:jc w:val="both"/>
        <w:rPr>
          <w:rFonts w:ascii="Garamond" w:hAnsi="Garamond"/>
        </w:rPr>
      </w:pPr>
    </w:p>
    <w:p w:rsidR="00750AB4" w:rsidRDefault="00AE1CAA">
      <w:pPr>
        <w:spacing w:before="120" w:after="120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>ЦФР на основании настоящей Методики формирует обязательства,</w:t>
      </w:r>
      <w:r>
        <w:t xml:space="preserve"> </w:t>
      </w:r>
      <w:r>
        <w:rPr>
          <w:rFonts w:ascii="Garamond" w:hAnsi="Garamond"/>
        </w:rPr>
        <w:t>в отношении которых изменяется срок исполнения обязательств в соответствии с соглашениями о порядке исполнения обязательств, заключенными на условиях варианта 2 приложения 2 к форме соглашения, предусмотренной приложением 114.15 к настоящему Регламенту.</w:t>
      </w:r>
    </w:p>
    <w:p w:rsidR="00750AB4" w:rsidRDefault="00AE1CAA">
      <w:pPr>
        <w:spacing w:before="120" w:after="120"/>
        <w:ind w:firstLine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ЦФР ежемесячно не позднее 20-го числа месяца, следующего за расчетным </w:t>
      </w:r>
      <w:r>
        <w:rPr>
          <w:rFonts w:ascii="Garamond" w:hAnsi="Garamond"/>
          <w:highlight w:val="yellow"/>
        </w:rPr>
        <w:t>периодом</w:t>
      </w:r>
      <w:r>
        <w:rPr>
          <w:rFonts w:ascii="Garamond" w:hAnsi="Garamond"/>
        </w:rPr>
        <w:t xml:space="preserve"> (в отношении расчетных периодов с 01.01.2022 по 30.04.2022 не позднее 20.05.2022), определяет размер обязательств</w:t>
      </w:r>
      <w:r>
        <w:t xml:space="preserve"> </w:t>
      </w:r>
      <w:r>
        <w:rPr>
          <w:rFonts w:ascii="Garamond" w:hAnsi="Garamond"/>
        </w:rPr>
        <w:t xml:space="preserve">участника оптового рынка – покупателя перед участником оптового рынка – продавцом, заключившими Соглашение о порядке исполнения обязательств (далее – покупатель, продавец), по которым изменяется срок исполнения в соответствии с условиями Соглашения о порядке исполнения обязательств, в следующем порядке. </w:t>
      </w:r>
    </w:p>
    <w:p w:rsidR="00750AB4" w:rsidRDefault="00AE1CAA">
      <w:pPr>
        <w:pStyle w:val="12"/>
        <w:numPr>
          <w:ilvl w:val="0"/>
          <w:numId w:val="21"/>
        </w:numPr>
        <w:tabs>
          <w:tab w:val="left" w:pos="993"/>
        </w:tabs>
        <w:spacing w:before="120" w:after="120" w:line="259" w:lineRule="auto"/>
        <w:ind w:left="0" w:firstLine="360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Определяется сумма обязательств покупателя перед продавцом по оплате электрической энергии и (или) мощности по договорам, заключенным на оптовом рынке, содержащихся в итоговых (фактических) реестрах обязательств, полученных от КО за расчетный период, предшествующий месяцу, в котором ЦФР осуществляет указанные действия (в мае 2022 года – за расчетные периоды с 01.01.2022 по 30.04.2022).</w:t>
      </w:r>
    </w:p>
    <w:p w:rsidR="00750AB4" w:rsidRDefault="00AE1CAA">
      <w:pPr>
        <w:pStyle w:val="12"/>
        <w:numPr>
          <w:ilvl w:val="0"/>
          <w:numId w:val="21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highlight w:val="yellow"/>
        </w:rPr>
        <w:t>Рассчитывается</w:t>
      </w:r>
      <w:r>
        <w:rPr>
          <w:rFonts w:ascii="Garamond" w:hAnsi="Garamond"/>
        </w:rPr>
        <w:t xml:space="preserve"> величина, соответствующая стоимости электроэнергии, полученной ЦФР от продавца по договорам комиссии на РСВ и БР и переданной покупателю по договорам купли-продажи на РСВ и БР, за расчетный период, предшествующий месяцу, в котором ЦФР осуществляет указанные действия (в мае 2022 года – за расчетные периоды с 01.01.2022 по 30.04.2022), </w:t>
      </w:r>
      <w:r>
        <w:rPr>
          <w:rFonts w:ascii="Garamond" w:hAnsi="Garamond"/>
          <w:highlight w:val="yellow"/>
        </w:rPr>
        <w:t>определенной</w:t>
      </w:r>
      <w:r>
        <w:rPr>
          <w:rFonts w:ascii="Garamond" w:hAnsi="Garamond"/>
        </w:rPr>
        <w:t xml:space="preserve"> в результате построения фактической матрицы прикрепления в соответствии с порядком, описанным в приложении 53.1 к настоящему Регламенту.</w:t>
      </w:r>
    </w:p>
    <w:p w:rsidR="00750AB4" w:rsidRDefault="00AE1CAA">
      <w:pPr>
        <w:pStyle w:val="12"/>
        <w:numPr>
          <w:ilvl w:val="0"/>
          <w:numId w:val="21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Определяется величина </w:t>
      </w:r>
      <w:r>
        <w:rPr>
          <w:rFonts w:ascii="Garamond" w:hAnsi="Garamond"/>
          <w:i/>
          <w:lang w:val="en-US"/>
        </w:rPr>
        <w:t>S</w:t>
      </w:r>
      <w:r>
        <w:rPr>
          <w:rFonts w:ascii="Garamond" w:hAnsi="Garamond"/>
          <w:i/>
        </w:rPr>
        <w:t xml:space="preserve">, </w:t>
      </w:r>
      <w:r>
        <w:rPr>
          <w:rFonts w:ascii="Garamond" w:hAnsi="Garamond"/>
        </w:rPr>
        <w:t>соответствующая размеру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обязательств, срок исполнения которых подлежит изменению, по формуле:</w:t>
      </w:r>
    </w:p>
    <w:p w:rsidR="00750AB4" w:rsidRDefault="00AE1CAA">
      <w:pPr>
        <w:pStyle w:val="12"/>
        <w:spacing w:before="120" w:after="120" w:line="240" w:lineRule="auto"/>
        <w:ind w:left="1077"/>
        <w:contextualSpacing w:val="0"/>
        <w:jc w:val="center"/>
        <w:rPr>
          <w:rFonts w:ascii="Garamond" w:hAnsi="Garamond"/>
        </w:rPr>
      </w:pPr>
      <w:r>
        <w:rPr>
          <w:rFonts w:ascii="Garamond" w:hAnsi="Garamond"/>
          <w:i/>
          <w:lang w:val="en-US"/>
        </w:rPr>
        <w:t>S</w:t>
      </w:r>
      <w:r>
        <w:rPr>
          <w:rFonts w:ascii="Garamond" w:hAnsi="Garamond"/>
        </w:rPr>
        <w:t xml:space="preserve"> = (1 - </w:t>
      </w:r>
      <w:r>
        <w:rPr>
          <w:rFonts w:ascii="Garamond" w:hAnsi="Garamond"/>
          <w:position w:val="-24"/>
        </w:rPr>
        <w:object w:dxaOrig="660" w:dyaOrig="620">
          <v:shape id="_x0000_i1027" type="#_x0000_t75" style="width:31.9pt;height:31.25pt" o:ole="">
            <v:imagedata r:id="rId7" o:title=""/>
          </v:shape>
          <o:OLEObject Type="Embed" ProgID="Equation.3" ShapeID="_x0000_i1027" DrawAspect="Content" ObjectID="_1709013117" r:id="rId11"/>
        </w:object>
      </w:r>
      <w:r>
        <w:rPr>
          <w:rFonts w:ascii="Garamond" w:hAnsi="Garamond"/>
        </w:rPr>
        <w:t xml:space="preserve">) × </w:t>
      </w: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</w:rPr>
        <w:t xml:space="preserve">, </w:t>
      </w:r>
    </w:p>
    <w:p w:rsidR="00750AB4" w:rsidRDefault="00AE1CAA">
      <w:pPr>
        <w:pStyle w:val="12"/>
        <w:spacing w:before="120" w:after="120" w:line="240" w:lineRule="auto"/>
        <w:ind w:left="284" w:hanging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>где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  <w:lang w:val="en-US"/>
        </w:rPr>
        <w:t>k</w:t>
      </w:r>
      <w:r>
        <w:rPr>
          <w:rFonts w:ascii="Garamond" w:hAnsi="Garamond"/>
        </w:rPr>
        <w:t xml:space="preserve"> – процент оплаты электрической энергии и мощности по договорам, заключенным на оптовом рынке, денежными средствами через уполномоченную кредитную организацию в соответствии с условиями варианта 2 приложения 2 к Соглашению о порядке исполнения обязательств;</w:t>
      </w:r>
    </w:p>
    <w:p w:rsidR="00750AB4" w:rsidRDefault="00AE1CAA">
      <w:pPr>
        <w:pStyle w:val="12"/>
        <w:spacing w:before="120" w:after="120" w:line="240" w:lineRule="auto"/>
        <w:ind w:left="284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  <w:i/>
        </w:rPr>
        <w:t xml:space="preserve"> – </w:t>
      </w:r>
      <w:r>
        <w:rPr>
          <w:rFonts w:ascii="Garamond" w:hAnsi="Garamond"/>
        </w:rPr>
        <w:t xml:space="preserve">сумма обязательств, определенных в соответствии с пунктом 1, и величины, определенной в соответствии с пунктом 2 настоящей Методики. </w:t>
      </w:r>
    </w:p>
    <w:p w:rsidR="00750AB4" w:rsidRDefault="00AE1CAA">
      <w:pPr>
        <w:pStyle w:val="12"/>
        <w:numPr>
          <w:ilvl w:val="0"/>
          <w:numId w:val="21"/>
        </w:numPr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Определяется размер величины </w:t>
      </w:r>
      <w:r>
        <w:rPr>
          <w:rFonts w:ascii="Garamond" w:hAnsi="Garamond"/>
          <w:i/>
          <w:lang w:val="en-US"/>
        </w:rPr>
        <w:t>N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 xml:space="preserve"> по каждому неисполненному обязательству покупателя </w:t>
      </w: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 xml:space="preserve"> за расчетный период,</w:t>
      </w:r>
      <w:r>
        <w:t xml:space="preserve"> </w:t>
      </w:r>
      <w:r>
        <w:rPr>
          <w:rFonts w:ascii="Garamond" w:hAnsi="Garamond"/>
        </w:rPr>
        <w:t>предшествующий месяцу, в котором ЦФР осуществляет указанные действия (в мае 2022 года – за расчетные периоды с 01.01.2022 по 30.04.2022), по регулируемому договору купли-продажи электрической энергии и мощности (далее – РД), заключенному между покупателем и продавцом, который не подлежит исполнению через уполномоченную кредитную организацию, по формуле:</w:t>
      </w:r>
    </w:p>
    <w:p w:rsidR="00750AB4" w:rsidRDefault="00AE1CAA">
      <w:pPr>
        <w:pStyle w:val="12"/>
        <w:tabs>
          <w:tab w:val="left" w:pos="993"/>
        </w:tabs>
        <w:spacing w:before="120" w:after="120" w:line="240" w:lineRule="auto"/>
        <w:ind w:left="0" w:firstLine="567"/>
        <w:contextualSpacing w:val="0"/>
        <w:jc w:val="center"/>
        <w:rPr>
          <w:rFonts w:ascii="Garamond" w:hAnsi="Garamond"/>
        </w:rPr>
      </w:pPr>
      <w:r>
        <w:rPr>
          <w:rFonts w:ascii="Garamond" w:hAnsi="Garamond"/>
          <w:position w:val="-32"/>
        </w:rPr>
        <w:object w:dxaOrig="1460" w:dyaOrig="700">
          <v:shape id="_x0000_i1028" type="#_x0000_t75" style="width:74.05pt;height:37.35pt" o:ole="">
            <v:imagedata r:id="rId9" o:title=""/>
          </v:shape>
          <o:OLEObject Type="Embed" ProgID="Equation.3" ShapeID="_x0000_i1028" DrawAspect="Content" ObjectID="_1709013118" r:id="rId12"/>
        </w:object>
      </w:r>
      <w:r w:rsidRPr="00C63C32">
        <w:rPr>
          <w:rFonts w:ascii="Garamond" w:hAnsi="Garamond"/>
          <w:highlight w:val="yellow"/>
        </w:rPr>
        <w:t>,</w:t>
      </w:r>
      <w:r>
        <w:rPr>
          <w:rFonts w:ascii="Garamond" w:hAnsi="Garamond"/>
        </w:rPr>
        <w:t xml:space="preserve"> </w:t>
      </w:r>
    </w:p>
    <w:p w:rsidR="00750AB4" w:rsidRDefault="00AE1CAA">
      <w:pPr>
        <w:pStyle w:val="12"/>
        <w:tabs>
          <w:tab w:val="left" w:pos="993"/>
        </w:tabs>
        <w:spacing w:before="120" w:after="120" w:line="240" w:lineRule="auto"/>
        <w:ind w:left="0"/>
        <w:contextualSpacing w:val="0"/>
        <w:jc w:val="both"/>
        <w:rPr>
          <w:rFonts w:ascii="Garamond" w:hAnsi="Garamond"/>
          <w:highlight w:val="yellow"/>
        </w:rPr>
      </w:pPr>
      <w:r>
        <w:rPr>
          <w:rFonts w:ascii="Garamond" w:hAnsi="Garamond"/>
          <w:highlight w:val="yellow"/>
        </w:rPr>
        <w:t xml:space="preserve">при этом в случае выполнения условия </w:t>
      </w:r>
      <w:r>
        <w:rPr>
          <w:rFonts w:ascii="Garamond" w:hAnsi="Garamond"/>
          <w:i/>
          <w:highlight w:val="yellow"/>
          <w:lang w:val="en-US"/>
        </w:rPr>
        <w:t>S</w:t>
      </w:r>
      <w:r>
        <w:rPr>
          <w:rFonts w:ascii="Garamond" w:hAnsi="Garamond"/>
          <w:i/>
          <w:highlight w:val="yellow"/>
        </w:rPr>
        <w:t xml:space="preserve"> &gt; ∑</w:t>
      </w:r>
      <w:r>
        <w:rPr>
          <w:rFonts w:ascii="Garamond" w:hAnsi="Garamond"/>
          <w:i/>
          <w:highlight w:val="yellow"/>
          <w:lang w:val="en-US"/>
        </w:rPr>
        <w:t>q</w:t>
      </w:r>
      <w:r>
        <w:rPr>
          <w:rFonts w:ascii="Garamond" w:hAnsi="Garamond"/>
          <w:i/>
          <w:highlight w:val="yellow"/>
          <w:vertAlign w:val="subscript"/>
          <w:lang w:val="en-US"/>
        </w:rPr>
        <w:t>i</w:t>
      </w:r>
      <w:r>
        <w:rPr>
          <w:rFonts w:ascii="Garamond" w:hAnsi="Garamond"/>
          <w:i/>
          <w:highlight w:val="yellow"/>
          <w:vertAlign w:val="subscript"/>
        </w:rPr>
        <w:t xml:space="preserve"> </w:t>
      </w:r>
      <w:r>
        <w:rPr>
          <w:rFonts w:ascii="Garamond" w:hAnsi="Garamond"/>
          <w:highlight w:val="yellow"/>
        </w:rPr>
        <w:t>:</w:t>
      </w:r>
    </w:p>
    <w:p w:rsidR="00750AB4" w:rsidRDefault="00AE1CAA">
      <w:pPr>
        <w:pStyle w:val="12"/>
        <w:numPr>
          <w:ilvl w:val="0"/>
          <w:numId w:val="22"/>
        </w:numPr>
        <w:tabs>
          <w:tab w:val="left" w:pos="993"/>
        </w:tabs>
        <w:spacing w:before="120" w:after="120" w:line="240" w:lineRule="auto"/>
        <w:contextualSpacing w:val="0"/>
        <w:rPr>
          <w:rFonts w:ascii="Garamond" w:hAnsi="Garamond"/>
          <w:i/>
          <w:highlight w:val="yellow"/>
        </w:rPr>
      </w:pPr>
      <w:r>
        <w:rPr>
          <w:rFonts w:ascii="Garamond" w:hAnsi="Garamond"/>
          <w:highlight w:val="yellow"/>
        </w:rPr>
        <w:t xml:space="preserve">величина </w:t>
      </w:r>
      <w:r>
        <w:rPr>
          <w:rFonts w:ascii="Garamond" w:hAnsi="Garamond"/>
          <w:i/>
          <w:highlight w:val="yellow"/>
          <w:lang w:val="en-US"/>
        </w:rPr>
        <w:t>N</w:t>
      </w:r>
      <w:r>
        <w:rPr>
          <w:rFonts w:ascii="Garamond" w:hAnsi="Garamond"/>
          <w:i/>
          <w:highlight w:val="yellow"/>
          <w:vertAlign w:val="subscript"/>
          <w:lang w:val="en-US"/>
        </w:rPr>
        <w:t>i</w:t>
      </w:r>
      <w:r>
        <w:rPr>
          <w:rFonts w:ascii="Garamond" w:hAnsi="Garamond"/>
          <w:highlight w:val="yellow"/>
        </w:rPr>
        <w:t xml:space="preserve"> по каждому неисполненному обязательству принимается равной </w:t>
      </w:r>
      <w:r>
        <w:rPr>
          <w:rFonts w:ascii="Garamond" w:hAnsi="Garamond"/>
          <w:i/>
          <w:highlight w:val="yellow"/>
          <w:lang w:val="en-US"/>
        </w:rPr>
        <w:t>q</w:t>
      </w:r>
      <w:r>
        <w:rPr>
          <w:rFonts w:ascii="Garamond" w:hAnsi="Garamond"/>
          <w:i/>
          <w:highlight w:val="yellow"/>
          <w:vertAlign w:val="subscript"/>
          <w:lang w:val="en-US"/>
        </w:rPr>
        <w:t>i</w:t>
      </w:r>
      <w:r>
        <w:rPr>
          <w:rFonts w:ascii="Garamond" w:hAnsi="Garamond"/>
          <w:highlight w:val="yellow"/>
        </w:rPr>
        <w:t>;</w:t>
      </w:r>
    </w:p>
    <w:p w:rsidR="00750AB4" w:rsidRDefault="00AE1CAA">
      <w:pPr>
        <w:pStyle w:val="12"/>
        <w:numPr>
          <w:ilvl w:val="0"/>
          <w:numId w:val="22"/>
        </w:numPr>
        <w:tabs>
          <w:tab w:val="left" w:pos="993"/>
        </w:tabs>
        <w:spacing w:before="120" w:after="120" w:line="240" w:lineRule="auto"/>
        <w:contextualSpacing w:val="0"/>
        <w:rPr>
          <w:rFonts w:ascii="Garamond" w:hAnsi="Garamond"/>
          <w:highlight w:val="yellow"/>
        </w:rPr>
      </w:pPr>
      <w:r>
        <w:rPr>
          <w:rFonts w:ascii="Garamond" w:hAnsi="Garamond"/>
          <w:highlight w:val="yellow"/>
        </w:rPr>
        <w:t xml:space="preserve">определяется разница между величинами </w:t>
      </w:r>
      <w:r>
        <w:rPr>
          <w:rFonts w:ascii="Garamond" w:hAnsi="Garamond"/>
          <w:i/>
          <w:highlight w:val="yellow"/>
        </w:rPr>
        <w:t>S</w:t>
      </w:r>
      <w:r>
        <w:rPr>
          <w:rFonts w:ascii="Garamond" w:hAnsi="Garamond"/>
          <w:highlight w:val="yellow"/>
        </w:rPr>
        <w:t xml:space="preserve"> и </w:t>
      </w:r>
      <w:r>
        <w:rPr>
          <w:rFonts w:ascii="Garamond" w:hAnsi="Garamond"/>
          <w:i/>
          <w:highlight w:val="yellow"/>
        </w:rPr>
        <w:t>∑q</w:t>
      </w:r>
      <w:r>
        <w:rPr>
          <w:rFonts w:ascii="Garamond" w:hAnsi="Garamond"/>
          <w:i/>
          <w:highlight w:val="yellow"/>
          <w:vertAlign w:val="subscript"/>
          <w:lang w:val="en-US"/>
        </w:rPr>
        <w:t>i</w:t>
      </w:r>
      <w:r>
        <w:rPr>
          <w:rFonts w:ascii="Garamond" w:hAnsi="Garamond"/>
          <w:highlight w:val="yellow"/>
        </w:rPr>
        <w:t xml:space="preserve">, на которую увеличивается величина </w:t>
      </w:r>
      <w:r>
        <w:rPr>
          <w:rFonts w:ascii="Garamond" w:hAnsi="Garamond"/>
          <w:i/>
          <w:highlight w:val="yellow"/>
        </w:rPr>
        <w:t>S</w:t>
      </w:r>
      <w:r>
        <w:rPr>
          <w:rFonts w:ascii="Garamond" w:hAnsi="Garamond"/>
          <w:highlight w:val="yellow"/>
        </w:rPr>
        <w:t xml:space="preserve">, используемая при расчете величин </w:t>
      </w:r>
      <w:r>
        <w:rPr>
          <w:rFonts w:ascii="Garamond" w:hAnsi="Garamond"/>
          <w:i/>
          <w:highlight w:val="yellow"/>
        </w:rPr>
        <w:t>N</w:t>
      </w:r>
      <w:r>
        <w:rPr>
          <w:rFonts w:ascii="Garamond" w:hAnsi="Garamond"/>
          <w:i/>
          <w:highlight w:val="yellow"/>
          <w:vertAlign w:val="subscript"/>
          <w:lang w:val="en-US"/>
        </w:rPr>
        <w:t>i</w:t>
      </w:r>
      <w:r>
        <w:rPr>
          <w:rFonts w:ascii="Garamond" w:hAnsi="Garamond"/>
          <w:highlight w:val="yellow"/>
        </w:rPr>
        <w:t xml:space="preserve"> в следующем месяце.</w:t>
      </w:r>
    </w:p>
    <w:p w:rsidR="00750AB4" w:rsidRDefault="00AE1CAA">
      <w:pPr>
        <w:pStyle w:val="12"/>
        <w:widowControl w:val="0"/>
        <w:tabs>
          <w:tab w:val="left" w:pos="993"/>
        </w:tabs>
        <w:spacing w:before="120" w:after="120" w:line="259" w:lineRule="auto"/>
        <w:ind w:left="0" w:firstLine="567"/>
        <w:contextualSpacing w:val="0"/>
        <w:jc w:val="both"/>
        <w:rPr>
          <w:rFonts w:ascii="Garamond" w:hAnsi="Garamond"/>
        </w:rPr>
      </w:pPr>
      <w:r>
        <w:rPr>
          <w:rFonts w:ascii="Garamond" w:hAnsi="Garamond"/>
          <w:highlight w:val="yellow"/>
        </w:rPr>
        <w:t xml:space="preserve">Начиная с даты платежа 21-е число месяца, в котором ЦФР формирует обязательства в соответствии с </w:t>
      </w:r>
      <w:r>
        <w:rPr>
          <w:rFonts w:ascii="Garamond" w:hAnsi="Garamond"/>
          <w:highlight w:val="yellow"/>
        </w:rPr>
        <w:lastRenderedPageBreak/>
        <w:t xml:space="preserve">настоящей </w:t>
      </w:r>
      <w:r w:rsidRPr="00C63C32">
        <w:rPr>
          <w:rFonts w:ascii="Garamond" w:hAnsi="Garamond"/>
          <w:highlight w:val="yellow"/>
        </w:rPr>
        <w:t>Методикой, о</w:t>
      </w:r>
      <w:r>
        <w:rPr>
          <w:rFonts w:ascii="Garamond" w:hAnsi="Garamond"/>
        </w:rPr>
        <w:t xml:space="preserve">бязательство </w:t>
      </w:r>
      <w:r>
        <w:rPr>
          <w:rFonts w:ascii="Garamond" w:hAnsi="Garamond"/>
          <w:i/>
          <w:lang w:val="en-US"/>
        </w:rPr>
        <w:t>q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  <w:vertAlign w:val="subscript"/>
        </w:rPr>
        <w:t xml:space="preserve"> </w:t>
      </w:r>
      <w:r>
        <w:rPr>
          <w:rFonts w:ascii="Garamond" w:hAnsi="Garamond"/>
        </w:rPr>
        <w:t xml:space="preserve">по РД блокируется (не включается в Сводный реестр платежей участников оптового рынка, в соответствии с которым уполномоченная кредитная организация производит списание денежных средств с торгового счета участника-покупателя) в размере величины </w:t>
      </w:r>
      <w:r>
        <w:rPr>
          <w:rFonts w:ascii="Garamond" w:hAnsi="Garamond"/>
          <w:i/>
          <w:lang w:val="en-US"/>
        </w:rPr>
        <w:t>N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>.</w:t>
      </w:r>
    </w:p>
    <w:p w:rsidR="00750AB4" w:rsidRDefault="00AE1CAA">
      <w:pPr>
        <w:spacing w:before="120" w:after="120"/>
        <w:ind w:firstLine="567"/>
        <w:jc w:val="both"/>
      </w:pPr>
      <w:r>
        <w:rPr>
          <w:rFonts w:ascii="Garamond" w:hAnsi="Garamond"/>
        </w:rPr>
        <w:t xml:space="preserve">ЦФР не позднее последнего рабочего дня месяца (в мае 2022 года – не позднее 31.05.2022) прекращает учет обязательств по РД в размере заблокированной величины </w:t>
      </w:r>
      <w:r>
        <w:rPr>
          <w:rFonts w:ascii="Garamond" w:hAnsi="Garamond"/>
          <w:i/>
          <w:lang w:val="en-US"/>
        </w:rPr>
        <w:t>N</w:t>
      </w:r>
      <w:r>
        <w:rPr>
          <w:rFonts w:ascii="Garamond" w:hAnsi="Garamond"/>
          <w:i/>
          <w:vertAlign w:val="subscript"/>
          <w:lang w:val="en-US"/>
        </w:rPr>
        <w:t>i</w:t>
      </w:r>
      <w:r>
        <w:rPr>
          <w:rFonts w:ascii="Garamond" w:hAnsi="Garamond"/>
        </w:rPr>
        <w:t xml:space="preserve"> и создает соответствующие новые обязательства с датой платежа </w:t>
      </w:r>
      <w:r>
        <w:rPr>
          <w:rFonts w:ascii="Garamond" w:hAnsi="Garamond"/>
          <w:i/>
          <w:lang w:val="en-US"/>
        </w:rPr>
        <w:t>D</w:t>
      </w:r>
      <w:r>
        <w:rPr>
          <w:rFonts w:ascii="Garamond" w:hAnsi="Garamond"/>
          <w:i/>
        </w:rPr>
        <w:t xml:space="preserve"> (</w:t>
      </w:r>
      <w:r>
        <w:rPr>
          <w:rFonts w:ascii="Garamond" w:hAnsi="Garamond"/>
          <w:i/>
          <w:lang w:val="en-US"/>
        </w:rPr>
        <w:t>D</w:t>
      </w:r>
      <w:r>
        <w:rPr>
          <w:rFonts w:ascii="Garamond" w:hAnsi="Garamond"/>
          <w:i/>
        </w:rPr>
        <w:t xml:space="preserve"> – </w:t>
      </w:r>
      <w:r>
        <w:rPr>
          <w:rFonts w:ascii="Garamond" w:hAnsi="Garamond"/>
        </w:rPr>
        <w:t xml:space="preserve">28 марта года </w:t>
      </w:r>
      <w:r>
        <w:rPr>
          <w:rFonts w:ascii="Garamond" w:hAnsi="Garamond"/>
          <w:i/>
          <w:lang w:val="en-US"/>
        </w:rPr>
        <w:t>X</w:t>
      </w:r>
      <w:r>
        <w:rPr>
          <w:rFonts w:ascii="Garamond" w:hAnsi="Garamond"/>
          <w:i/>
        </w:rPr>
        <w:t>+</w:t>
      </w:r>
      <w:r>
        <w:rPr>
          <w:rFonts w:ascii="Garamond" w:hAnsi="Garamond"/>
        </w:rPr>
        <w:t>14, где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  <w:lang w:val="en-US"/>
        </w:rPr>
        <w:t>X</w:t>
      </w:r>
      <w:r>
        <w:rPr>
          <w:rFonts w:ascii="Garamond" w:hAnsi="Garamond"/>
        </w:rPr>
        <w:t xml:space="preserve"> – год расчетного периода, предшествующего месяцу, в котором ЦФР формируются обязательства в соответствии с настоящей Методикой). </w:t>
      </w:r>
    </w:p>
    <w:p w:rsidR="00750AB4" w:rsidRDefault="00750AB4">
      <w:pPr>
        <w:spacing w:after="0" w:line="240" w:lineRule="auto"/>
        <w:sectPr w:rsidR="00750AB4" w:rsidSect="00C63C32">
          <w:pgSz w:w="11906" w:h="16838"/>
          <w:pgMar w:top="1134" w:right="568" w:bottom="851" w:left="1418" w:header="708" w:footer="708" w:gutter="0"/>
          <w:cols w:space="708"/>
          <w:titlePg/>
          <w:docGrid w:linePitch="360"/>
        </w:sectPr>
      </w:pPr>
    </w:p>
    <w:p w:rsidR="00750AB4" w:rsidRDefault="00AE1CAA" w:rsidP="00C63C32">
      <w:pPr>
        <w:spacing w:after="0" w:line="240" w:lineRule="auto"/>
        <w:rPr>
          <w:rFonts w:ascii="Garamond" w:hAnsi="Garamond"/>
          <w:b/>
          <w:sz w:val="26"/>
        </w:rPr>
      </w:pPr>
      <w:r>
        <w:rPr>
          <w:rFonts w:ascii="Garamond" w:hAnsi="Garamond"/>
          <w:b/>
          <w:sz w:val="26"/>
        </w:rPr>
        <w:lastRenderedPageBreak/>
        <w:t xml:space="preserve">Предложения по изменениям и дополнениям в СОГЛАШЕНИЕ </w:t>
      </w:r>
      <w:r w:rsidR="00C63C32">
        <w:rPr>
          <w:rFonts w:ascii="Garamond" w:hAnsi="Garamond"/>
          <w:b/>
          <w:sz w:val="26"/>
        </w:rPr>
        <w:t>О ПРИМЕНЕНИИ ЭЛЕКТРОННОЙ ПОДПИСИ В ТОРГОВОЙ СИСТЕМЕ ОПТОВОГО РЫНКА</w:t>
      </w:r>
      <w:r>
        <w:rPr>
          <w:rFonts w:ascii="Garamond" w:hAnsi="Garamond"/>
          <w:b/>
          <w:sz w:val="26"/>
        </w:rPr>
        <w:t xml:space="preserve"> (Приложение № Д 7 к Договору о присоединении к торговой системе оптового рынка)</w:t>
      </w:r>
    </w:p>
    <w:p w:rsidR="00750AB4" w:rsidRDefault="00750AB4" w:rsidP="00C63C32">
      <w:pPr>
        <w:spacing w:after="0" w:line="240" w:lineRule="auto"/>
        <w:contextualSpacing/>
        <w:rPr>
          <w:rFonts w:eastAsia="SimSun"/>
          <w:b/>
          <w:iCs/>
        </w:rPr>
      </w:pPr>
    </w:p>
    <w:p w:rsidR="00750AB4" w:rsidRDefault="00AE1CAA" w:rsidP="00C63C32">
      <w:p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Добавить позици</w:t>
      </w:r>
      <w:r w:rsidR="00DB208D">
        <w:rPr>
          <w:rFonts w:ascii="Garamond" w:hAnsi="Garamond"/>
          <w:b/>
        </w:rPr>
        <w:t>ю</w:t>
      </w:r>
      <w:r>
        <w:rPr>
          <w:rFonts w:ascii="Garamond" w:hAnsi="Garamond"/>
          <w:b/>
        </w:rPr>
        <w:t xml:space="preserve"> в приложение 2 к Правилам ЭДО СЭД КО:</w:t>
      </w:r>
    </w:p>
    <w:p w:rsidR="00750AB4" w:rsidRDefault="00750AB4" w:rsidP="00C63C32">
      <w:pPr>
        <w:spacing w:after="0" w:line="240" w:lineRule="auto"/>
        <w:contextualSpacing/>
        <w:rPr>
          <w:rFonts w:eastAsia="SimSun"/>
          <w:b/>
          <w:i/>
        </w:rPr>
      </w:pP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04"/>
        <w:gridCol w:w="2433"/>
        <w:gridCol w:w="1175"/>
        <w:gridCol w:w="944"/>
        <w:gridCol w:w="853"/>
        <w:gridCol w:w="997"/>
        <w:gridCol w:w="1491"/>
        <w:gridCol w:w="928"/>
        <w:gridCol w:w="772"/>
        <w:gridCol w:w="1160"/>
        <w:gridCol w:w="1466"/>
        <w:gridCol w:w="1153"/>
        <w:gridCol w:w="1153"/>
      </w:tblGrid>
      <w:tr w:rsidR="00C63C32" w:rsidRPr="00C63C32" w:rsidTr="00C63C32">
        <w:trPr>
          <w:trHeight w:val="604"/>
          <w:jc w:val="center"/>
        </w:trPr>
        <w:tc>
          <w:tcPr>
            <w:tcW w:w="353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Код формы</w:t>
            </w:r>
          </w:p>
        </w:tc>
        <w:tc>
          <w:tcPr>
            <w:tcW w:w="778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Наименование формы</w:t>
            </w:r>
          </w:p>
        </w:tc>
        <w:tc>
          <w:tcPr>
            <w:tcW w:w="376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Основание предоставления</w:t>
            </w:r>
          </w:p>
        </w:tc>
        <w:tc>
          <w:tcPr>
            <w:tcW w:w="302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Формат</w:t>
            </w:r>
          </w:p>
        </w:tc>
        <w:tc>
          <w:tcPr>
            <w:tcW w:w="273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Отправитель</w:t>
            </w:r>
          </w:p>
        </w:tc>
        <w:tc>
          <w:tcPr>
            <w:tcW w:w="319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Получатель</w:t>
            </w:r>
          </w:p>
        </w:tc>
        <w:tc>
          <w:tcPr>
            <w:tcW w:w="477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Способ доставки</w:t>
            </w:r>
          </w:p>
        </w:tc>
        <w:tc>
          <w:tcPr>
            <w:tcW w:w="297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Подтверждать получение</w:t>
            </w:r>
          </w:p>
        </w:tc>
        <w:tc>
          <w:tcPr>
            <w:tcW w:w="247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Шифровать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Область применения ЭП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ПО отображения и изготовления бумажных копий</w:t>
            </w:r>
          </w:p>
        </w:tc>
        <w:tc>
          <w:tcPr>
            <w:tcW w:w="369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Срок хранения ЭД в архиве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  <w:r w:rsidRPr="00C63C32"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  <w:t>Срок доступа через интерфейс сайта</w:t>
            </w:r>
          </w:p>
          <w:p w:rsidR="00750AB4" w:rsidRPr="00C63C32" w:rsidRDefault="00750AB4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color w:val="000000"/>
                <w:sz w:val="18"/>
                <w:szCs w:val="18"/>
                <w:lang w:eastAsia="ko-KR"/>
              </w:rPr>
            </w:pPr>
          </w:p>
        </w:tc>
      </w:tr>
      <w:tr w:rsidR="00C63C32" w:rsidRPr="00C63C32" w:rsidTr="00C63C32">
        <w:trPr>
          <w:trHeight w:val="469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C63C32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CFR_PART_DEFERRAL_AMOUNT_REP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750AB4" w:rsidRPr="00C63C32" w:rsidRDefault="00AE1CAA" w:rsidP="00BC374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Уведомление о величине обязательств, в отношении которых изменяется срок исполнения в соответствии с соглашением о порядке исполнения обязательств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 xml:space="preserve">Регламент № </w:t>
            </w: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val="en-US" w:eastAsia="ko-KR"/>
              </w:rPr>
              <w:t>16</w:t>
            </w: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 xml:space="preserve">, приложение </w:t>
            </w: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val="en-US" w:eastAsia="ko-KR"/>
              </w:rPr>
              <w:t>114</w:t>
            </w: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.</w:t>
            </w: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val="en-US" w:eastAsia="ko-KR"/>
              </w:rPr>
              <w:t>23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xls</w:t>
            </w: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val="en-US" w:eastAsia="ko-KR"/>
              </w:rPr>
              <w:t>x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ЦФР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Участник</w:t>
            </w:r>
          </w:p>
        </w:tc>
        <w:tc>
          <w:tcPr>
            <w:tcW w:w="477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сайт, персональный раздел участника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Нет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Нет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Times New Roman" w:hAnsi="Arial" w:cs="Arial"/>
                <w:color w:val="000000"/>
                <w:sz w:val="18"/>
                <w:szCs w:val="18"/>
                <w:highlight w:val="yellow"/>
                <w:lang w:eastAsia="ru-RU"/>
              </w:rPr>
              <w:t>1.3.6.1.4.1.18545.1.2.1.8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Excel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5 лет</w:t>
            </w:r>
          </w:p>
        </w:tc>
        <w:tc>
          <w:tcPr>
            <w:tcW w:w="370" w:type="pct"/>
            <w:vAlign w:val="center"/>
          </w:tcPr>
          <w:p w:rsidR="00750AB4" w:rsidRPr="00C63C32" w:rsidRDefault="00AE1CAA" w:rsidP="00C63C32">
            <w:pPr>
              <w:spacing w:after="0" w:line="240" w:lineRule="auto"/>
              <w:contextualSpacing/>
              <w:jc w:val="center"/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</w:pPr>
            <w:r w:rsidRPr="00C63C32">
              <w:rPr>
                <w:rFonts w:ascii="Arial" w:eastAsia="Batang" w:hAnsi="Arial" w:cs="Arial"/>
                <w:sz w:val="18"/>
                <w:szCs w:val="18"/>
                <w:highlight w:val="yellow"/>
                <w:lang w:eastAsia="ko-KR"/>
              </w:rPr>
              <w:t>6 месяцев</w:t>
            </w:r>
          </w:p>
        </w:tc>
      </w:tr>
    </w:tbl>
    <w:p w:rsidR="00750AB4" w:rsidRDefault="00750AB4">
      <w:pPr>
        <w:spacing w:after="0" w:line="240" w:lineRule="auto"/>
        <w:jc w:val="both"/>
        <w:rPr>
          <w:rFonts w:ascii="Garamond" w:hAnsi="Garamond"/>
          <w:b/>
        </w:rPr>
      </w:pPr>
    </w:p>
    <w:sectPr w:rsidR="00750AB4"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AA" w:rsidRDefault="00AE1CAA">
      <w:pPr>
        <w:spacing w:after="0" w:line="240" w:lineRule="auto"/>
      </w:pPr>
      <w:r>
        <w:separator/>
      </w:r>
    </w:p>
  </w:endnote>
  <w:endnote w:type="continuationSeparator" w:id="0">
    <w:p w:rsidR="00AE1CAA" w:rsidRDefault="00AE1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AA" w:rsidRDefault="00AE1CAA">
      <w:pPr>
        <w:spacing w:after="0" w:line="240" w:lineRule="auto"/>
      </w:pPr>
      <w:r>
        <w:separator/>
      </w:r>
    </w:p>
  </w:footnote>
  <w:footnote w:type="continuationSeparator" w:id="0">
    <w:p w:rsidR="00AE1CAA" w:rsidRDefault="00AE1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083"/>
    <w:multiLevelType w:val="hybridMultilevel"/>
    <w:tmpl w:val="72F6EA7E"/>
    <w:lvl w:ilvl="0" w:tplc="6E984F1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7DF7"/>
    <w:multiLevelType w:val="hybridMultilevel"/>
    <w:tmpl w:val="78F615AC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E06CBF"/>
    <w:multiLevelType w:val="hybridMultilevel"/>
    <w:tmpl w:val="A0402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2EC"/>
    <w:multiLevelType w:val="hybridMultilevel"/>
    <w:tmpl w:val="A4609966"/>
    <w:lvl w:ilvl="0" w:tplc="FFFFFFFF">
      <w:start w:val="1"/>
      <w:numFmt w:val="bullet"/>
      <w:lvlText w:val="−"/>
      <w:lvlJc w:val="left"/>
      <w:pPr>
        <w:ind w:left="27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 w15:restartNumberingAfterBreak="0">
    <w:nsid w:val="1FED6C51"/>
    <w:multiLevelType w:val="multilevel"/>
    <w:tmpl w:val="B96C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80F7E27"/>
    <w:multiLevelType w:val="multilevel"/>
    <w:tmpl w:val="B96C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BC00D47"/>
    <w:multiLevelType w:val="hybridMultilevel"/>
    <w:tmpl w:val="25A0BB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F016B43"/>
    <w:multiLevelType w:val="hybridMultilevel"/>
    <w:tmpl w:val="6CF0AD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8A26489"/>
    <w:multiLevelType w:val="hybridMultilevel"/>
    <w:tmpl w:val="642C69B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40914ED4"/>
    <w:multiLevelType w:val="hybridMultilevel"/>
    <w:tmpl w:val="8DB27BE2"/>
    <w:lvl w:ilvl="0" w:tplc="8E0CFE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2B27BE4"/>
    <w:multiLevelType w:val="multilevel"/>
    <w:tmpl w:val="B96C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51042A0"/>
    <w:multiLevelType w:val="hybridMultilevel"/>
    <w:tmpl w:val="66E4A8DA"/>
    <w:lvl w:ilvl="0" w:tplc="F70E75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812DB"/>
    <w:multiLevelType w:val="hybridMultilevel"/>
    <w:tmpl w:val="14B4B6E8"/>
    <w:lvl w:ilvl="0" w:tplc="3124BE6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284F"/>
    <w:multiLevelType w:val="hybridMultilevel"/>
    <w:tmpl w:val="1AC41D50"/>
    <w:lvl w:ilvl="0" w:tplc="B7EC78EE">
      <w:start w:val="1"/>
      <w:numFmt w:val="decimal"/>
      <w:lvlText w:val="%1."/>
      <w:lvlJc w:val="left"/>
      <w:pPr>
        <w:ind w:left="1080" w:hanging="360"/>
      </w:pPr>
      <w:rPr>
        <w:rFonts w:cs="Garamon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021F9A"/>
    <w:multiLevelType w:val="hybridMultilevel"/>
    <w:tmpl w:val="04964776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E3E36"/>
    <w:multiLevelType w:val="hybridMultilevel"/>
    <w:tmpl w:val="C12891EA"/>
    <w:lvl w:ilvl="0" w:tplc="5EB01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E3461"/>
    <w:multiLevelType w:val="multilevel"/>
    <w:tmpl w:val="B96CE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8C233C7"/>
    <w:multiLevelType w:val="hybridMultilevel"/>
    <w:tmpl w:val="178A76A8"/>
    <w:lvl w:ilvl="0" w:tplc="C6DC5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B545C"/>
    <w:multiLevelType w:val="multilevel"/>
    <w:tmpl w:val="1090A3FC"/>
    <w:lvl w:ilvl="0">
      <w:start w:val="1"/>
      <w:numFmt w:val="none"/>
      <w:lvlText w:val="1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2">
      <w:start w:val="1"/>
      <w:numFmt w:val="decimal"/>
      <w:lvlText w:val="%16.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6.4.%3.%4."/>
      <w:lvlJc w:val="left"/>
      <w:pPr>
        <w:tabs>
          <w:tab w:val="num" w:pos="2989"/>
        </w:tabs>
        <w:ind w:left="291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19" w15:restartNumberingAfterBreak="0">
    <w:nsid w:val="72C40ECA"/>
    <w:multiLevelType w:val="hybridMultilevel"/>
    <w:tmpl w:val="EAC8A4C8"/>
    <w:lvl w:ilvl="0" w:tplc="FFFFFFFF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4669C5"/>
    <w:multiLevelType w:val="hybridMultilevel"/>
    <w:tmpl w:val="DE6EDF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A36C1C"/>
    <w:multiLevelType w:val="hybridMultilevel"/>
    <w:tmpl w:val="9A04FBC4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3"/>
  </w:num>
  <w:num w:numId="7">
    <w:abstractNumId w:val="17"/>
  </w:num>
  <w:num w:numId="8">
    <w:abstractNumId w:val="15"/>
  </w:num>
  <w:num w:numId="9">
    <w:abstractNumId w:val="19"/>
  </w:num>
  <w:num w:numId="10">
    <w:abstractNumId w:val="14"/>
  </w:num>
  <w:num w:numId="11">
    <w:abstractNumId w:val="8"/>
  </w:num>
  <w:num w:numId="12">
    <w:abstractNumId w:val="1"/>
  </w:num>
  <w:num w:numId="13">
    <w:abstractNumId w:val="18"/>
  </w:num>
  <w:num w:numId="14">
    <w:abstractNumId w:val="9"/>
  </w:num>
  <w:num w:numId="15">
    <w:abstractNumId w:val="13"/>
  </w:num>
  <w:num w:numId="16">
    <w:abstractNumId w:val="6"/>
  </w:num>
  <w:num w:numId="17">
    <w:abstractNumId w:val="2"/>
  </w:num>
  <w:num w:numId="18">
    <w:abstractNumId w:val="7"/>
  </w:num>
  <w:num w:numId="19">
    <w:abstractNumId w:val="21"/>
  </w:num>
  <w:num w:numId="20">
    <w:abstractNumId w:val="0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B4"/>
    <w:rsid w:val="000B4D15"/>
    <w:rsid w:val="00716AAF"/>
    <w:rsid w:val="00750AB4"/>
    <w:rsid w:val="00904065"/>
    <w:rsid w:val="00AE1CAA"/>
    <w:rsid w:val="00BC374E"/>
    <w:rsid w:val="00C63C32"/>
    <w:rsid w:val="00DB208D"/>
    <w:rsid w:val="00EA16E5"/>
    <w:rsid w:val="00EF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F7B261"/>
  <w15:chartTrackingRefBased/>
  <w15:docId w15:val="{18750489-470E-4C71-B546-6C0E9449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H3,Заголовок подпукта (1.1.1),Level 1 - 1,o"/>
    <w:basedOn w:val="a"/>
    <w:link w:val="31"/>
    <w:autoRedefine/>
    <w:qFormat/>
    <w:rsid w:val="00C63C32"/>
    <w:pPr>
      <w:widowControl w:val="0"/>
      <w:spacing w:before="120" w:after="120" w:line="240" w:lineRule="auto"/>
      <w:ind w:firstLine="567"/>
      <w:jc w:val="right"/>
      <w:outlineLvl w:val="2"/>
    </w:pPr>
    <w:rPr>
      <w:rFonts w:ascii="Garamond" w:eastAsia="Times New Roman" w:hAnsi="Garamond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pPr>
      <w:spacing w:before="180" w:after="60" w:line="240" w:lineRule="auto"/>
      <w:ind w:left="720"/>
      <w:contextualSpacing/>
    </w:pPr>
    <w:rPr>
      <w:rFonts w:ascii="Garamond" w:eastAsia="Times New Roman" w:hAnsi="Garamond"/>
      <w:szCs w:val="20"/>
      <w:lang w:val="en-GB"/>
    </w:rPr>
  </w:style>
  <w:style w:type="paragraph" w:styleId="a5">
    <w:name w:val="Body Text"/>
    <w:aliases w:val="body text"/>
    <w:basedOn w:val="a"/>
    <w:link w:val="1"/>
    <w:pPr>
      <w:spacing w:before="120" w:after="120" w:line="240" w:lineRule="auto"/>
      <w:jc w:val="both"/>
    </w:pPr>
    <w:rPr>
      <w:rFonts w:ascii="Times New Roman" w:eastAsia="Times New Roman" w:hAnsi="Times New Roman"/>
      <w:szCs w:val="20"/>
      <w:lang w:val="en-GB"/>
    </w:rPr>
  </w:style>
  <w:style w:type="character" w:customStyle="1" w:styleId="a6">
    <w:name w:val="Основной текст Знак"/>
    <w:basedOn w:val="a0"/>
    <w:uiPriority w:val="99"/>
    <w:semiHidden/>
    <w:rPr>
      <w:rFonts w:ascii="Calibri" w:eastAsia="Calibri" w:hAnsi="Calibri" w:cs="Times New Roman"/>
    </w:rPr>
  </w:style>
  <w:style w:type="character" w:customStyle="1" w:styleId="1">
    <w:name w:val="Основной текст Знак1"/>
    <w:aliases w:val="body text Знак"/>
    <w:link w:val="a5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11">
    <w:name w:val="Обычный + 11 пт"/>
    <w:aliases w:val="По ширине"/>
    <w:basedOn w:val="a"/>
    <w:pPr>
      <w:tabs>
        <w:tab w:val="num" w:pos="1680"/>
      </w:tabs>
      <w:spacing w:after="0" w:line="240" w:lineRule="auto"/>
      <w:ind w:left="1680" w:hanging="114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31">
    <w:name w:val="Заголовок 3 Знак1"/>
    <w:aliases w:val="H3 Знак,Заголовок подпукта (1.1.1) Знак,Level 1 - 1 Знак,o Знак"/>
    <w:link w:val="3"/>
    <w:locked/>
    <w:rsid w:val="00C63C32"/>
    <w:rPr>
      <w:rFonts w:ascii="Garamond" w:eastAsia="Times New Roman" w:hAnsi="Garamond" w:cs="Times New Roman"/>
      <w:b/>
      <w:color w:val="000000"/>
    </w:rPr>
  </w:style>
  <w:style w:type="character" w:customStyle="1" w:styleId="a4">
    <w:name w:val="Абзац списка Знак"/>
    <w:link w:val="a3"/>
    <w:uiPriority w:val="34"/>
    <w:rPr>
      <w:rFonts w:ascii="Garamond" w:eastAsia="Times New Roman" w:hAnsi="Garamond" w:cs="Times New Roman"/>
      <w:szCs w:val="20"/>
      <w:lang w:val="en-GB"/>
    </w:rPr>
  </w:style>
  <w:style w:type="character" w:customStyle="1" w:styleId="a7">
    <w:name w:val="Основной текст_"/>
    <w:basedOn w:val="a0"/>
    <w:link w:val="10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7"/>
    <w:pPr>
      <w:widowControl w:val="0"/>
      <w:spacing w:after="0" w:line="283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pPr>
      <w:spacing w:after="0" w:line="240" w:lineRule="auto"/>
    </w:pPr>
    <w:rPr>
      <w:rFonts w:ascii="Garamond" w:eastAsia="Times New Roman" w:hAnsi="Garamond"/>
      <w:sz w:val="20"/>
      <w:szCs w:val="20"/>
      <w:lang w:val="en-GB"/>
    </w:rPr>
  </w:style>
  <w:style w:type="character" w:customStyle="1" w:styleId="a9">
    <w:name w:val="Текст сноски Знак"/>
    <w:basedOn w:val="a0"/>
    <w:link w:val="a8"/>
    <w:uiPriority w:val="99"/>
    <w:semiHidden/>
    <w:rPr>
      <w:rFonts w:ascii="Garamond" w:eastAsia="Times New Roman" w:hAnsi="Garamond" w:cs="Times New Roman"/>
      <w:sz w:val="20"/>
      <w:szCs w:val="20"/>
      <w:lang w:val="en-GB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21">
    <w:name w:val="Основной текст Знак2"/>
    <w:aliases w:val="body text Знак2,Основной текст Знак3"/>
    <w:rPr>
      <w:sz w:val="22"/>
      <w:lang w:val="en-GB" w:eastAsia="en-US" w:bidi="ar-SA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3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">
    <w:name w:val="Основной текст Знак4"/>
    <w:aliases w:val="body text Знак3"/>
    <w:rPr>
      <w:sz w:val="22"/>
      <w:lang w:val="en-GB" w:eastAsia="en-US" w:bidi="ar-SA"/>
    </w:rPr>
  </w:style>
  <w:style w:type="paragraph" w:customStyle="1" w:styleId="12">
    <w:name w:val="Абзац списка1"/>
    <w:basedOn w:val="a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герой</dc:creator>
  <cp:keywords/>
  <dc:description/>
  <cp:lastModifiedBy>Пряхина Ирина Игоревна</cp:lastModifiedBy>
  <cp:revision>10</cp:revision>
  <dcterms:created xsi:type="dcterms:W3CDTF">2022-03-10T06:29:00Z</dcterms:created>
  <dcterms:modified xsi:type="dcterms:W3CDTF">2022-03-17T06:05:00Z</dcterms:modified>
</cp:coreProperties>
</file>