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7624" w14:textId="61503D3A" w:rsidR="00EA4B31" w:rsidRDefault="009906C6" w:rsidP="0008072F">
      <w:pPr>
        <w:widowControl w:val="0"/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V</w:t>
      </w:r>
      <w:r w:rsidRPr="009906C6">
        <w:rPr>
          <w:rFonts w:ascii="Garamond" w:hAnsi="Garamond"/>
          <w:b/>
          <w:sz w:val="28"/>
          <w:szCs w:val="28"/>
        </w:rPr>
        <w:t xml:space="preserve">.2. </w:t>
      </w:r>
      <w:r w:rsidR="00EA4B31" w:rsidRPr="00EA04A0">
        <w:rPr>
          <w:rFonts w:ascii="Garamond" w:hAnsi="Garamond"/>
          <w:b/>
          <w:sz w:val="28"/>
          <w:szCs w:val="28"/>
        </w:rPr>
        <w:t>Изменения, связанные c заключением дополнительных соглашений к соглашениям о порядке исполнения обязательств</w:t>
      </w:r>
      <w:r w:rsidR="00EA4B31">
        <w:rPr>
          <w:rFonts w:ascii="Garamond" w:hAnsi="Garamond"/>
          <w:b/>
          <w:sz w:val="28"/>
          <w:szCs w:val="28"/>
        </w:rPr>
        <w:t xml:space="preserve"> </w:t>
      </w:r>
    </w:p>
    <w:p w14:paraId="2ED3935D" w14:textId="77777777" w:rsidR="009906C6" w:rsidRPr="00C3121C" w:rsidRDefault="009906C6" w:rsidP="0008072F">
      <w:pPr>
        <w:widowControl w:val="0"/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</w:p>
    <w:p w14:paraId="18B26C23" w14:textId="301849CA" w:rsidR="00AE3C2B" w:rsidRPr="009906C6" w:rsidRDefault="00EA4B31" w:rsidP="0008072F">
      <w:pPr>
        <w:widowControl w:val="0"/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 w:rsidRPr="009906C6">
        <w:rPr>
          <w:rFonts w:ascii="Garamond" w:hAnsi="Garamond"/>
          <w:b/>
          <w:sz w:val="28"/>
          <w:szCs w:val="28"/>
        </w:rPr>
        <w:t>Приложение №</w:t>
      </w:r>
      <w:r w:rsidR="009906C6" w:rsidRPr="009906C6">
        <w:rPr>
          <w:rFonts w:ascii="Garamond" w:hAnsi="Garamond"/>
          <w:b/>
          <w:sz w:val="28"/>
          <w:szCs w:val="28"/>
        </w:rPr>
        <w:t xml:space="preserve"> 5.2</w:t>
      </w:r>
    </w:p>
    <w:p w14:paraId="0FEB3BC2" w14:textId="77777777" w:rsidR="00AE3C2B" w:rsidRDefault="00AE3C2B" w:rsidP="0008072F">
      <w:pPr>
        <w:widowControl w:val="0"/>
        <w:spacing w:after="0" w:line="240" w:lineRule="auto"/>
        <w:jc w:val="center"/>
        <w:rPr>
          <w:rFonts w:ascii="Garamond" w:hAnsi="Garamond"/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AE3C2B" w14:paraId="6543017D" w14:textId="77777777" w:rsidTr="002462E8">
        <w:trPr>
          <w:trHeight w:val="928"/>
        </w:trPr>
        <w:tc>
          <w:tcPr>
            <w:tcW w:w="14992" w:type="dxa"/>
          </w:tcPr>
          <w:p w14:paraId="53343920" w14:textId="77777777" w:rsidR="003434C3" w:rsidRPr="00660A20" w:rsidRDefault="003434C3" w:rsidP="0008072F">
            <w:pPr>
              <w:widowControl w:val="0"/>
              <w:tabs>
                <w:tab w:val="left" w:pos="0"/>
                <w:tab w:val="left" w:pos="342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 w:rsidRPr="00660A20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77B6E19A" w14:textId="2CC97C08" w:rsidR="00356AFC" w:rsidRDefault="003434C3" w:rsidP="000807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 w:rsidRPr="00660A20"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 w:rsidRPr="00660A20">
              <w:rPr>
                <w:rFonts w:ascii="Garamond" w:hAnsi="Garamond"/>
                <w:sz w:val="24"/>
                <w:szCs w:val="24"/>
              </w:rPr>
              <w:t xml:space="preserve">необходимо </w:t>
            </w:r>
            <w:r w:rsidR="00CE71BD" w:rsidRPr="00CE71BD">
              <w:rPr>
                <w:rFonts w:ascii="Garamond" w:hAnsi="Garamond"/>
                <w:sz w:val="24"/>
                <w:szCs w:val="24"/>
              </w:rPr>
              <w:t>определить порядок заключения в 1</w:t>
            </w:r>
            <w:r w:rsidR="004A10B2">
              <w:rPr>
                <w:rFonts w:ascii="Garamond" w:hAnsi="Garamond"/>
                <w:sz w:val="24"/>
                <w:szCs w:val="24"/>
              </w:rPr>
              <w:t>-м</w:t>
            </w:r>
            <w:r w:rsidR="00CE71BD" w:rsidRPr="00CE71BD">
              <w:rPr>
                <w:rFonts w:ascii="Garamond" w:hAnsi="Garamond"/>
                <w:sz w:val="24"/>
                <w:szCs w:val="24"/>
              </w:rPr>
              <w:t xml:space="preserve"> квартале 2025 года дополнительных соглашений к соглашениям о порядке исполнения обязательств</w:t>
            </w:r>
            <w:r w:rsidRPr="00660A20">
              <w:rPr>
                <w:rFonts w:ascii="Garamond" w:hAnsi="Garamond"/>
                <w:sz w:val="24"/>
                <w:szCs w:val="24"/>
              </w:rPr>
              <w:t xml:space="preserve"> между ПАО «Россети Северный Кавказ», АО «Чеченэнерго» и </w:t>
            </w:r>
            <w:r w:rsidRPr="00A85173">
              <w:rPr>
                <w:rFonts w:ascii="Garamond" w:hAnsi="Garamond"/>
                <w:sz w:val="24"/>
                <w:szCs w:val="24"/>
              </w:rPr>
              <w:t>генерирующими компаниями в целях фиксации параметров</w:t>
            </w:r>
            <w:r>
              <w:rPr>
                <w:rFonts w:ascii="Garamond" w:hAnsi="Garamond"/>
                <w:sz w:val="24"/>
                <w:szCs w:val="24"/>
              </w:rPr>
              <w:t xml:space="preserve"> расчетов по соглашениям на 2025</w:t>
            </w:r>
            <w:r w:rsidRPr="00A85173">
              <w:rPr>
                <w:rFonts w:ascii="Garamond" w:hAnsi="Garamond"/>
                <w:sz w:val="24"/>
                <w:szCs w:val="24"/>
              </w:rPr>
              <w:t xml:space="preserve"> год</w:t>
            </w:r>
            <w:r w:rsidR="00D961D7">
              <w:rPr>
                <w:rFonts w:ascii="Garamond" w:hAnsi="Garamond"/>
                <w:sz w:val="24"/>
                <w:szCs w:val="24"/>
              </w:rPr>
              <w:t>.</w:t>
            </w:r>
            <w:r w:rsidRPr="00A8517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5331F43" w14:textId="0A8C5275" w:rsidR="00AE3C2B" w:rsidRDefault="003434C3" w:rsidP="000807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121C">
              <w:rPr>
                <w:rFonts w:ascii="Garamond" w:hAnsi="Garamond"/>
                <w:sz w:val="24"/>
                <w:szCs w:val="24"/>
              </w:rPr>
              <w:t>1 февраля</w:t>
            </w:r>
            <w:r w:rsidR="009906C6">
              <w:rPr>
                <w:rFonts w:ascii="Garamond" w:hAnsi="Garamond"/>
                <w:sz w:val="24"/>
                <w:szCs w:val="24"/>
              </w:rPr>
              <w:t xml:space="preserve"> 2025 года.</w:t>
            </w:r>
            <w:r w:rsidR="00CD5C4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569D026F" w14:textId="77777777" w:rsidR="00AE3C2B" w:rsidRDefault="00AE3C2B" w:rsidP="0008072F">
      <w:pPr>
        <w:widowControl w:val="0"/>
        <w:spacing w:after="0" w:line="240" w:lineRule="auto"/>
        <w:rPr>
          <w:rFonts w:ascii="Garamond" w:hAnsi="Garamond"/>
        </w:rPr>
      </w:pPr>
    </w:p>
    <w:p w14:paraId="17A3A2A7" w14:textId="4604D073" w:rsidR="002900B6" w:rsidRDefault="00AE3C2B" w:rsidP="0008072F">
      <w:pPr>
        <w:spacing w:after="0" w:line="240" w:lineRule="auto"/>
        <w:rPr>
          <w:rFonts w:ascii="Garamond" w:hAnsi="Garamond"/>
          <w:b/>
          <w:sz w:val="26"/>
          <w:szCs w:val="26"/>
        </w:rPr>
      </w:pPr>
      <w:r>
        <w:rPr>
          <w:rFonts w:ascii="Garamond" w:eastAsia="Batang" w:hAnsi="Garamond"/>
          <w:b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/>
          <w:b/>
          <w:caps/>
          <w:sz w:val="26"/>
          <w:szCs w:val="26"/>
        </w:rPr>
        <w:t>Регламент финансовых расчетов на оптовом рынке электроэнергии</w:t>
      </w:r>
      <w:r>
        <w:rPr>
          <w:rFonts w:ascii="Garamond" w:hAnsi="Garamond"/>
          <w:b/>
          <w:sz w:val="26"/>
          <w:szCs w:val="26"/>
        </w:rPr>
        <w:t xml:space="preserve"> (</w:t>
      </w:r>
      <w:r>
        <w:rPr>
          <w:rFonts w:ascii="Garamond" w:hAnsi="Garamond"/>
          <w:b/>
          <w:bCs/>
          <w:sz w:val="26"/>
          <w:szCs w:val="26"/>
        </w:rPr>
        <w:t>Приложение № 16 к</w:t>
      </w:r>
      <w:r>
        <w:rPr>
          <w:rFonts w:ascii="Garamond" w:hAnsi="Garamond"/>
          <w:b/>
          <w:bCs/>
          <w:i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>Д</w:t>
      </w:r>
      <w:r>
        <w:rPr>
          <w:rFonts w:ascii="Garamond" w:hAnsi="Garamond"/>
          <w:b/>
          <w:sz w:val="26"/>
          <w:szCs w:val="26"/>
        </w:rPr>
        <w:t xml:space="preserve">оговору о присоединении к торговой системе оптового рынка) </w:t>
      </w:r>
    </w:p>
    <w:p w14:paraId="7BA38CA6" w14:textId="77777777" w:rsidR="00AE3C2B" w:rsidRDefault="00AE3C2B" w:rsidP="0008072F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3877"/>
        <w:gridCol w:w="10156"/>
      </w:tblGrid>
      <w:tr w:rsidR="00AE3C2B" w14:paraId="373FB8F2" w14:textId="77777777" w:rsidTr="00732658">
        <w:tc>
          <w:tcPr>
            <w:tcW w:w="988" w:type="dxa"/>
            <w:vAlign w:val="center"/>
          </w:tcPr>
          <w:p w14:paraId="4C57AE0C" w14:textId="77777777" w:rsidR="00AE3C2B" w:rsidRPr="003434C3" w:rsidRDefault="00AE3C2B" w:rsidP="0008072F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3434C3">
              <w:rPr>
                <w:rFonts w:ascii="Garamond" w:hAnsi="Garamond"/>
                <w:b/>
              </w:rPr>
              <w:t>№</w:t>
            </w:r>
          </w:p>
          <w:p w14:paraId="5ABCD202" w14:textId="77777777" w:rsidR="00AE3C2B" w:rsidRPr="003434C3" w:rsidRDefault="00AE3C2B" w:rsidP="0008072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434C3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3877" w:type="dxa"/>
            <w:vAlign w:val="center"/>
          </w:tcPr>
          <w:p w14:paraId="18D173CA" w14:textId="77777777" w:rsidR="00AE3C2B" w:rsidRPr="008C4978" w:rsidRDefault="00AE3C2B" w:rsidP="0008072F">
            <w:pPr>
              <w:widowControl w:val="0"/>
              <w:jc w:val="center"/>
              <w:rPr>
                <w:rFonts w:ascii="Garamond" w:hAnsi="Garamond"/>
                <w:b/>
                <w:bCs/>
              </w:rPr>
            </w:pPr>
            <w:r w:rsidRPr="008C4978">
              <w:rPr>
                <w:rFonts w:ascii="Garamond" w:hAnsi="Garamond"/>
                <w:b/>
                <w:bCs/>
              </w:rPr>
              <w:t>Редакция, действующая на момент</w:t>
            </w:r>
          </w:p>
          <w:p w14:paraId="3653D6CA" w14:textId="77777777" w:rsidR="00AE3C2B" w:rsidRPr="008C4978" w:rsidRDefault="00AE3C2B" w:rsidP="0008072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C4978">
              <w:rPr>
                <w:rFonts w:ascii="Garamond" w:hAnsi="Garamond"/>
                <w:b/>
                <w:bCs/>
              </w:rPr>
              <w:t>вступления в силу изменений</w:t>
            </w:r>
          </w:p>
        </w:tc>
        <w:tc>
          <w:tcPr>
            <w:tcW w:w="10156" w:type="dxa"/>
            <w:vAlign w:val="center"/>
          </w:tcPr>
          <w:p w14:paraId="4963C505" w14:textId="77777777" w:rsidR="00AE3C2B" w:rsidRDefault="00AE3C2B" w:rsidP="0008072F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Предлагаемая редакция</w:t>
            </w:r>
          </w:p>
          <w:p w14:paraId="138A2F27" w14:textId="77777777" w:rsidR="00AE3C2B" w:rsidRDefault="00AE3C2B" w:rsidP="0008072F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</w:rPr>
              <w:t>(изменения выделены цветом)</w:t>
            </w:r>
          </w:p>
        </w:tc>
      </w:tr>
      <w:tr w:rsidR="00D17E24" w14:paraId="5474757D" w14:textId="77777777" w:rsidTr="00732658">
        <w:tc>
          <w:tcPr>
            <w:tcW w:w="988" w:type="dxa"/>
            <w:vAlign w:val="center"/>
          </w:tcPr>
          <w:p w14:paraId="5A61333B" w14:textId="2BCC6C23" w:rsidR="00D17E24" w:rsidRPr="003434C3" w:rsidRDefault="004039BB" w:rsidP="003434C3">
            <w:pPr>
              <w:jc w:val="center"/>
              <w:rPr>
                <w:rFonts w:ascii="Garamond" w:hAnsi="Garamond"/>
                <w:b/>
              </w:rPr>
            </w:pPr>
            <w:r w:rsidRPr="003434C3">
              <w:rPr>
                <w:rFonts w:ascii="Garamond" w:hAnsi="Garamond"/>
                <w:b/>
              </w:rPr>
              <w:t>18´.18.3</w:t>
            </w:r>
          </w:p>
        </w:tc>
        <w:tc>
          <w:tcPr>
            <w:tcW w:w="3877" w:type="dxa"/>
          </w:tcPr>
          <w:p w14:paraId="5DF73307" w14:textId="75333F52" w:rsidR="00D17E24" w:rsidRDefault="003434C3" w:rsidP="00732658">
            <w:pPr>
              <w:spacing w:before="120" w:after="120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000000"/>
              </w:rPr>
              <w:t>Добавить пункт</w:t>
            </w:r>
          </w:p>
        </w:tc>
        <w:tc>
          <w:tcPr>
            <w:tcW w:w="10156" w:type="dxa"/>
            <w:shd w:val="clear" w:color="auto" w:fill="auto"/>
          </w:tcPr>
          <w:p w14:paraId="2A70193B" w14:textId="77777777" w:rsidR="00290F12" w:rsidRPr="00CE71BD" w:rsidRDefault="00290F12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18´.18.3. В целях фиксации на 2025 год соотношения цены покупаемого векселя к его номиналу или доли расчетов денежными средствами через уполномоченную кредитную организацию продавцы и покупатели, заключившие соглашение о порядке исполнения обязательств, в срок до 26.03.2025 подписывают с применением электронной подписи дополнительные соглашения к cоглашениям о порядке исполнения обязательств по форме приложения 114.15г к настоящему Регламенту в порядке, предусмотренном п. 18´.28 настоящего Регламента.</w:t>
            </w:r>
          </w:p>
          <w:p w14:paraId="2984B8A3" w14:textId="77777777" w:rsidR="00290F12" w:rsidRPr="00CE71BD" w:rsidRDefault="00290F12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Совет рынка передает ЦФР подписанные сторонами дополнительные соглашения к соглашениям о порядке исполнения обязательств по форме приложения 114.15г к настоящему Регламенту и реестр заключенных участниками оптового рынка дополнительных соглашений в формате, согласованном с ЦФР, не позднее 31.03.2025.</w:t>
            </w:r>
          </w:p>
          <w:p w14:paraId="63AC14A3" w14:textId="77777777" w:rsidR="00290F12" w:rsidRPr="00CE71BD" w:rsidRDefault="00290F12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Дополнительные соглашения к соглашениям о порядке исполнения обязательств по форме приложения 114.15г и реестр заключенных дополнительных соглашений Совет рынка передает в ЦФР при соблюдении одновременно следующих условий:</w:t>
            </w:r>
          </w:p>
          <w:p w14:paraId="5BA09FBC" w14:textId="77777777" w:rsidR="00290F12" w:rsidRPr="00CE71BD" w:rsidRDefault="00290F12" w:rsidP="00732658">
            <w:pPr>
              <w:tabs>
                <w:tab w:val="left" w:pos="923"/>
              </w:tabs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−</w:t>
            </w:r>
            <w:r w:rsidRPr="00CE71BD">
              <w:rPr>
                <w:rFonts w:ascii="Garamond" w:hAnsi="Garamond"/>
                <w:highlight w:val="yellow"/>
              </w:rPr>
              <w:tab/>
              <w:t>дополнительные соглашения полностью соответствуют по форме и содержанию дополнительным соглашениям, предоставленным участникам оптового рынка для подписания в соответствии с настоящим пунктом;</w:t>
            </w:r>
          </w:p>
          <w:p w14:paraId="3C1CC610" w14:textId="77777777" w:rsidR="00290F12" w:rsidRPr="00CE71BD" w:rsidRDefault="00290F12" w:rsidP="00732658">
            <w:pPr>
              <w:tabs>
                <w:tab w:val="left" w:pos="923"/>
              </w:tabs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−</w:t>
            </w:r>
            <w:r w:rsidRPr="00CE71BD">
              <w:rPr>
                <w:rFonts w:ascii="Garamond" w:hAnsi="Garamond"/>
                <w:highlight w:val="yellow"/>
              </w:rPr>
              <w:tab/>
              <w:t xml:space="preserve"> дополнительные соглашения подписаны уполномоченными от имени участников оптового рынка лицами с применением электронной подписи;</w:t>
            </w:r>
          </w:p>
          <w:p w14:paraId="36E73AB1" w14:textId="77777777" w:rsidR="00290F12" w:rsidRPr="00CE71BD" w:rsidRDefault="00290F12" w:rsidP="00732658">
            <w:pPr>
              <w:tabs>
                <w:tab w:val="left" w:pos="923"/>
              </w:tabs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lastRenderedPageBreak/>
              <w:t>−</w:t>
            </w:r>
            <w:r w:rsidRPr="00CE71BD">
              <w:rPr>
                <w:rFonts w:ascii="Garamond" w:hAnsi="Garamond"/>
                <w:highlight w:val="yellow"/>
              </w:rPr>
              <w:tab/>
              <w:t>дополнительные соглашения подписаны ко всем соглашениям о порядке исполнения обязательств, заключенным с покупателем.</w:t>
            </w:r>
          </w:p>
          <w:p w14:paraId="6F6D7027" w14:textId="5FC35AD6" w:rsidR="00D17E24" w:rsidRPr="00CE71BD" w:rsidRDefault="00290F12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ЦФР принимает к учету дополнительные соглашения к соглашениям о порядке исполнения обязательств по форме приложения 114.15г к настоящему Регламенту не позднее 01.04.2025.</w:t>
            </w:r>
          </w:p>
        </w:tc>
      </w:tr>
      <w:tr w:rsidR="00971F75" w14:paraId="4041ACDA" w14:textId="77777777" w:rsidTr="00732658">
        <w:tc>
          <w:tcPr>
            <w:tcW w:w="988" w:type="dxa"/>
            <w:vAlign w:val="center"/>
          </w:tcPr>
          <w:p w14:paraId="6F6630A3" w14:textId="17541A75" w:rsidR="00971F75" w:rsidRPr="003434C3" w:rsidRDefault="00971F75" w:rsidP="003434C3">
            <w:pPr>
              <w:jc w:val="center"/>
              <w:rPr>
                <w:rFonts w:ascii="Garamond" w:hAnsi="Garamond"/>
                <w:b/>
              </w:rPr>
            </w:pPr>
            <w:r w:rsidRPr="003434C3">
              <w:rPr>
                <w:rFonts w:ascii="Garamond" w:hAnsi="Garamond"/>
                <w:b/>
              </w:rPr>
              <w:lastRenderedPageBreak/>
              <w:t>18´.28</w:t>
            </w:r>
          </w:p>
        </w:tc>
        <w:tc>
          <w:tcPr>
            <w:tcW w:w="3877" w:type="dxa"/>
          </w:tcPr>
          <w:p w14:paraId="3E64C5F7" w14:textId="4A112E0A" w:rsidR="00971F75" w:rsidRPr="00971F75" w:rsidRDefault="003434C3" w:rsidP="00732658">
            <w:pPr>
              <w:spacing w:before="120" w:after="120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000000"/>
              </w:rPr>
              <w:t>Добавить пункт</w:t>
            </w:r>
          </w:p>
        </w:tc>
        <w:tc>
          <w:tcPr>
            <w:tcW w:w="10156" w:type="dxa"/>
            <w:shd w:val="clear" w:color="auto" w:fill="auto"/>
          </w:tcPr>
          <w:p w14:paraId="5217B566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Совет рынка организует заключение участниками оптового рынка дополнительных соглашений к соглашениям о порядке исполнения обязательств путем обеспечения совершения следующих действий:</w:t>
            </w:r>
          </w:p>
          <w:p w14:paraId="7296E218" w14:textId="48A80830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 xml:space="preserve">а) размещения на официальном сайте Совета рынка информационного сообщения о дате, времени и порядке подписания дополнительных соглашений по форме приложения 114.15г </w:t>
            </w:r>
            <w:bookmarkStart w:id="0" w:name="_GoBack"/>
            <w:bookmarkEnd w:id="0"/>
            <w:r w:rsidRPr="00CE71BD">
              <w:rPr>
                <w:rFonts w:ascii="Garamond" w:hAnsi="Garamond"/>
                <w:highlight w:val="yellow"/>
              </w:rPr>
              <w:t>не позднее 1</w:t>
            </w:r>
            <w:r w:rsidR="006E3A89" w:rsidRPr="00CE71BD">
              <w:rPr>
                <w:rFonts w:ascii="Garamond" w:hAnsi="Garamond"/>
                <w:highlight w:val="yellow"/>
              </w:rPr>
              <w:t>7</w:t>
            </w:r>
            <w:r w:rsidRPr="00CE71BD">
              <w:rPr>
                <w:rFonts w:ascii="Garamond" w:hAnsi="Garamond"/>
                <w:highlight w:val="yellow"/>
              </w:rPr>
              <w:t>.03.2025;</w:t>
            </w:r>
          </w:p>
          <w:p w14:paraId="216C9CF8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б) размещения в личных кабинетах участников оптового рынка на официальном сайте КО дополнительных соглашений, доступных для ознакомления, в срок, указанный в вышеуказанном информационном сообщении;</w:t>
            </w:r>
          </w:p>
          <w:p w14:paraId="5ECE9F72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в) размещения в личных кабинетах участников оптового рынка на официальном сайте КО дополнительных соглашений, доступных для подписания с применением электронной подписи, для продавца в срок не позднее 1-го рабочего дня после дня размещения дополнительных соглашений, доступных для ознакомления, для покупателя – не позднее 1-го рабочего дня после подписания продавцами дополнительных соглашений по форме приложения 114.15г – ко всем соглашениям о порядке исполнения обязательств, заключенным с покупателем;</w:t>
            </w:r>
          </w:p>
          <w:p w14:paraId="37C7D1F3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г) проверки действительности электронной подписи и полномочий лиц, подписавших от имени участников оптового рынка дополнительные соглашения;</w:t>
            </w:r>
          </w:p>
          <w:p w14:paraId="07CE2296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д) проверки правильности оформления дополнительного соглашения;</w:t>
            </w:r>
          </w:p>
          <w:p w14:paraId="0A1176AA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е) размещения в личных кабинетах участников оптового рынка на официальном сайте КО подписанных дополнительных соглашений в срок не позднее 5-го рабочего дня после подписания покупателями;</w:t>
            </w:r>
          </w:p>
          <w:p w14:paraId="5B0204A3" w14:textId="63EEC8ED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ж) размещения на официальном сайте Совета рынка в срок не позднее 07.04.2025 информационного сообщения о дате учета ЦФР дополнительных соглашений.</w:t>
            </w:r>
          </w:p>
          <w:p w14:paraId="7778D9D9" w14:textId="77777777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>Продавец должен обеспечить подписание дополнительных соглашений к соглашениям о порядке исполнения обязательств с применением электронной подписи своего уполномоченного представителя в течение 3 рабочих дней со дня, определенного в соответствии с подпунктом «в» настоящего пункта. Покупатель должен обеспечить их подписание с применением электронной подписи своего уполномоченного представителя в течение 2 рабочих дней со дня, определенного в соответствии с подпунктом «в» настоящего пункта.</w:t>
            </w:r>
          </w:p>
          <w:p w14:paraId="3B0B6C2C" w14:textId="724A449A" w:rsidR="00971F75" w:rsidRPr="00CE71BD" w:rsidRDefault="00971F75" w:rsidP="00732658">
            <w:pPr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CE71BD">
              <w:rPr>
                <w:rFonts w:ascii="Garamond" w:hAnsi="Garamond"/>
                <w:highlight w:val="yellow"/>
              </w:rPr>
              <w:t xml:space="preserve">Участник оптового рынка, являющийся стороной соглашения о порядке исполнения обязательств, обязуется по запросу другой стороны указанного соглашения в течение 10 рабочих дней направить ей копии </w:t>
            </w:r>
            <w:r w:rsidRPr="00CE71BD">
              <w:rPr>
                <w:rFonts w:ascii="Garamond" w:hAnsi="Garamond"/>
                <w:highlight w:val="yellow"/>
              </w:rPr>
              <w:lastRenderedPageBreak/>
              <w:t>документов, подтверждающих полномочия лиц, подписавших дополнительное соглашение к соглашению о порядке исполнения обязательств от имени участника оптового рынка, заверенные подписью уполномоченного лица такого участника оптового рынка. Права и обязанности по дополнительным соглашениям к соглашениям о порядке исполнения обязательств, подписанным покупателями и продавцами, возникают с даты учета ЦФР указанных соглашений.</w:t>
            </w:r>
          </w:p>
        </w:tc>
      </w:tr>
    </w:tbl>
    <w:p w14:paraId="51AEF251" w14:textId="44F12877" w:rsidR="007D199C" w:rsidRDefault="007D199C" w:rsidP="000816B0"/>
    <w:sectPr w:rsidR="007D199C" w:rsidSect="0008072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7E7B" w14:textId="77777777" w:rsidR="005F5E6E" w:rsidRDefault="005F5E6E" w:rsidP="007D199C">
      <w:pPr>
        <w:spacing w:after="0" w:line="240" w:lineRule="auto"/>
      </w:pPr>
      <w:r>
        <w:separator/>
      </w:r>
    </w:p>
  </w:endnote>
  <w:endnote w:type="continuationSeparator" w:id="0">
    <w:p w14:paraId="29D5F1F3" w14:textId="77777777" w:rsidR="005F5E6E" w:rsidRDefault="005F5E6E" w:rsidP="007D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A944" w14:textId="77777777" w:rsidR="005F5E6E" w:rsidRDefault="005F5E6E" w:rsidP="007D199C">
      <w:pPr>
        <w:spacing w:after="0" w:line="240" w:lineRule="auto"/>
      </w:pPr>
      <w:r>
        <w:separator/>
      </w:r>
    </w:p>
  </w:footnote>
  <w:footnote w:type="continuationSeparator" w:id="0">
    <w:p w14:paraId="3A8274B8" w14:textId="77777777" w:rsidR="005F5E6E" w:rsidRDefault="005F5E6E" w:rsidP="007D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8D3624"/>
    <w:multiLevelType w:val="multilevel"/>
    <w:tmpl w:val="982C5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B"/>
    <w:rsid w:val="0008072F"/>
    <w:rsid w:val="000816B0"/>
    <w:rsid w:val="001253B3"/>
    <w:rsid w:val="00172D00"/>
    <w:rsid w:val="001E0652"/>
    <w:rsid w:val="001F31AC"/>
    <w:rsid w:val="00210003"/>
    <w:rsid w:val="002900B6"/>
    <w:rsid w:val="00290F12"/>
    <w:rsid w:val="003434C3"/>
    <w:rsid w:val="003447DD"/>
    <w:rsid w:val="00356AFC"/>
    <w:rsid w:val="003B522D"/>
    <w:rsid w:val="003D6298"/>
    <w:rsid w:val="004039BB"/>
    <w:rsid w:val="004A10B2"/>
    <w:rsid w:val="005F5E6E"/>
    <w:rsid w:val="00645FD7"/>
    <w:rsid w:val="006E3A89"/>
    <w:rsid w:val="00732658"/>
    <w:rsid w:val="007D199C"/>
    <w:rsid w:val="00830C79"/>
    <w:rsid w:val="008816EA"/>
    <w:rsid w:val="008C4978"/>
    <w:rsid w:val="00971F75"/>
    <w:rsid w:val="009906C6"/>
    <w:rsid w:val="00AE3C2B"/>
    <w:rsid w:val="00BF7237"/>
    <w:rsid w:val="00C3121C"/>
    <w:rsid w:val="00C52D68"/>
    <w:rsid w:val="00CD5C42"/>
    <w:rsid w:val="00CE71BD"/>
    <w:rsid w:val="00D17E24"/>
    <w:rsid w:val="00D514D2"/>
    <w:rsid w:val="00D961D7"/>
    <w:rsid w:val="00E36B24"/>
    <w:rsid w:val="00EA4B31"/>
    <w:rsid w:val="00ED3F6E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9F2D"/>
  <w15:chartTrackingRefBased/>
  <w15:docId w15:val="{108BB097-2D8C-423F-9615-F7196EF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C2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49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9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497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9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497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978"/>
    <w:rPr>
      <w:rFonts w:ascii="Segoe UI" w:eastAsia="Calibri" w:hAnsi="Segoe UI" w:cs="Segoe UI"/>
      <w:sz w:val="18"/>
      <w:szCs w:val="18"/>
    </w:rPr>
  </w:style>
  <w:style w:type="paragraph" w:styleId="ab">
    <w:name w:val="Body Text"/>
    <w:aliases w:val="body text"/>
    <w:basedOn w:val="a"/>
    <w:link w:val="1"/>
    <w:rsid w:val="002900B6"/>
    <w:pPr>
      <w:spacing w:before="120" w:after="12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ac">
    <w:name w:val="Основной текст Знак"/>
    <w:basedOn w:val="a0"/>
    <w:uiPriority w:val="99"/>
    <w:semiHidden/>
    <w:rsid w:val="002900B6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body text Знак"/>
    <w:link w:val="ab"/>
    <w:rsid w:val="002900B6"/>
    <w:rPr>
      <w:rFonts w:ascii="Times New Roman" w:eastAsia="Times New Roman" w:hAnsi="Times New Roman" w:cs="Times New Roman"/>
      <w:szCs w:val="20"/>
      <w:lang w:val="en-GB"/>
    </w:rPr>
  </w:style>
  <w:style w:type="paragraph" w:styleId="ad">
    <w:name w:val="footnote text"/>
    <w:basedOn w:val="a"/>
    <w:link w:val="10"/>
    <w:uiPriority w:val="99"/>
    <w:unhideWhenUsed/>
    <w:rsid w:val="007D199C"/>
    <w:pPr>
      <w:spacing w:before="180" w:after="60" w:line="240" w:lineRule="auto"/>
    </w:pPr>
    <w:rPr>
      <w:rFonts w:ascii="Garamond" w:eastAsia="Times New Roman" w:hAnsi="Garamond"/>
      <w:sz w:val="20"/>
      <w:szCs w:val="20"/>
      <w:lang w:val="en-GB"/>
    </w:rPr>
  </w:style>
  <w:style w:type="character" w:customStyle="1" w:styleId="ae">
    <w:name w:val="Текст сноски Знак"/>
    <w:basedOn w:val="a0"/>
    <w:uiPriority w:val="99"/>
    <w:semiHidden/>
    <w:rsid w:val="007D199C"/>
    <w:rPr>
      <w:rFonts w:ascii="Calibri" w:eastAsia="Calibri" w:hAnsi="Calibri" w:cs="Times New Roman"/>
      <w:sz w:val="20"/>
      <w:szCs w:val="20"/>
    </w:rPr>
  </w:style>
  <w:style w:type="character" w:customStyle="1" w:styleId="af">
    <w:name w:val="Абзац списка Знак"/>
    <w:link w:val="af0"/>
    <w:uiPriority w:val="34"/>
    <w:locked/>
    <w:rsid w:val="007D199C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7D199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f1">
    <w:name w:val="footnote reference"/>
    <w:uiPriority w:val="99"/>
    <w:semiHidden/>
    <w:unhideWhenUsed/>
    <w:rsid w:val="007D199C"/>
    <w:rPr>
      <w:vertAlign w:val="superscript"/>
    </w:rPr>
  </w:style>
  <w:style w:type="character" w:customStyle="1" w:styleId="10">
    <w:name w:val="Текст сноски Знак1"/>
    <w:link w:val="ad"/>
    <w:uiPriority w:val="99"/>
    <w:locked/>
    <w:rsid w:val="007D199C"/>
    <w:rPr>
      <w:rFonts w:ascii="Garamond" w:eastAsia="Times New Roman" w:hAnsi="Garamond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Смолькова Юлия Сергеевна</dc:creator>
  <cp:keywords/>
  <dc:description/>
  <cp:lastModifiedBy>Пряхина Ирина Игоревна</cp:lastModifiedBy>
  <cp:revision>8</cp:revision>
  <dcterms:created xsi:type="dcterms:W3CDTF">2024-12-12T07:10:00Z</dcterms:created>
  <dcterms:modified xsi:type="dcterms:W3CDTF">2025-01-24T19:12:00Z</dcterms:modified>
</cp:coreProperties>
</file>