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СОГЛАШЕНИЕ № </w:t>
      </w:r>
      <w:bookmarkStart w:id="0" w:name="ContractNumber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Garamond" w:hAnsi="Garamond" w:cs="Times New Roman"/>
          <w:b/>
          <w:bCs/>
          <w:sz w:val="24"/>
          <w:szCs w:val="24"/>
        </w:rPr>
        <w:br/>
        <w:t xml:space="preserve">об обмене документами в электронной форме 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через операторов электронного документооборота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widowControl w:val="0"/>
        <w:tabs>
          <w:tab w:val="right" w:pos="9356"/>
        </w:tabs>
        <w:spacing w:before="120" w:after="120" w:line="312" w:lineRule="auto"/>
        <w:jc w:val="both"/>
        <w:rPr>
          <w:rFonts w:ascii="Garamond" w:hAnsi="Garamond"/>
          <w:b/>
          <w:color w:val="000000"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>г. Москва</w:t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tab/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fldChar w:fldCharType="begin">
          <w:ffData>
            <w:name w:val="ContractDate"/>
            <w:enabled/>
            <w:calcOnExit w:val="0"/>
            <w:textInput/>
          </w:ffData>
        </w:fldChar>
      </w:r>
      <w:bookmarkStart w:id="1" w:name="ContractDate"/>
      <w:r>
        <w:rPr>
          <w:rFonts w:ascii="Garamond" w:hAnsi="Garamond"/>
          <w:b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ascii="Garamond" w:hAnsi="Garamond"/>
          <w:b/>
          <w:color w:val="000000"/>
          <w:sz w:val="22"/>
          <w:szCs w:val="22"/>
          <w:lang w:eastAsia="en-US"/>
        </w:rPr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fldChar w:fldCharType="separate"/>
      </w:r>
      <w:r>
        <w:rPr>
          <w:rFonts w:ascii="Garamond" w:hAnsi="Garamond"/>
          <w:b/>
          <w:noProof/>
          <w:color w:val="000000"/>
          <w:sz w:val="22"/>
          <w:szCs w:val="22"/>
          <w:lang w:eastAsia="en-US"/>
        </w:rPr>
        <w:t> </w:t>
      </w:r>
      <w:r>
        <w:rPr>
          <w:rFonts w:ascii="Garamond" w:hAnsi="Garamond"/>
          <w:b/>
          <w:noProof/>
          <w:color w:val="000000"/>
          <w:sz w:val="22"/>
          <w:szCs w:val="22"/>
          <w:lang w:eastAsia="en-US"/>
        </w:rPr>
        <w:t> </w:t>
      </w:r>
      <w:r>
        <w:rPr>
          <w:rFonts w:ascii="Garamond" w:hAnsi="Garamond"/>
          <w:b/>
          <w:noProof/>
          <w:color w:val="000000"/>
          <w:sz w:val="22"/>
          <w:szCs w:val="22"/>
          <w:lang w:eastAsia="en-US"/>
        </w:rPr>
        <w:t> </w:t>
      </w:r>
      <w:r>
        <w:rPr>
          <w:rFonts w:ascii="Garamond" w:hAnsi="Garamond"/>
          <w:b/>
          <w:noProof/>
          <w:color w:val="000000"/>
          <w:sz w:val="22"/>
          <w:szCs w:val="22"/>
          <w:lang w:eastAsia="en-US"/>
        </w:rPr>
        <w:t> </w:t>
      </w:r>
      <w:r>
        <w:rPr>
          <w:rFonts w:ascii="Garamond" w:hAnsi="Garamond"/>
          <w:b/>
          <w:noProof/>
          <w:color w:val="000000"/>
          <w:sz w:val="22"/>
          <w:szCs w:val="22"/>
          <w:lang w:eastAsia="en-US"/>
        </w:rPr>
        <w:t> </w:t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fldChar w:fldCharType="end"/>
      </w:r>
      <w:bookmarkEnd w:id="1"/>
    </w:p>
    <w:p>
      <w:pPr>
        <w:widowControl w:val="0"/>
        <w:spacing w:before="120" w:after="120" w:line="312" w:lineRule="auto"/>
        <w:ind w:left="720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, именуемое в дальнейшем «Сторона 1», в лице</w:t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</w:r>
      <w:r>
        <w:rPr>
          <w:rFonts w:ascii="Garamond" w:hAnsi="Garamond"/>
          <w:color w:val="000000"/>
          <w:sz w:val="22"/>
          <w:szCs w:val="22"/>
          <w:lang w:eastAsia="en-US"/>
        </w:rPr>
        <w:softHyphen/>
        <w:t>______________________________________, действующего (ей) на основании ________________________________________, с одной стороны и</w:t>
      </w:r>
    </w:p>
    <w:p>
      <w:pPr>
        <w:widowControl w:val="0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_______</w:t>
      </w:r>
      <w:bookmarkStart w:id="2" w:name="_GoBack"/>
      <w:bookmarkEnd w:id="2"/>
      <w:r>
        <w:rPr>
          <w:rFonts w:ascii="Garamond" w:hAnsi="Garamond"/>
          <w:color w:val="000000"/>
          <w:sz w:val="22"/>
          <w:szCs w:val="22"/>
          <w:lang w:eastAsia="en-US"/>
        </w:rPr>
        <w:t xml:space="preserve">_____________________________________________________________________________, именуемое в дальнейшем «Сторона 2», в лице ______________________________________________ </w:t>
      </w:r>
      <w:r>
        <w:rPr>
          <w:rFonts w:ascii="Garamond" w:hAnsi="Garamond"/>
          <w:bCs/>
          <w:iCs/>
          <w:color w:val="000000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ascii="Garamond" w:hAnsi="Garamond"/>
          <w:bCs/>
          <w:color w:val="000000"/>
          <w:sz w:val="22"/>
          <w:szCs w:val="22"/>
          <w:lang w:eastAsia="en-US"/>
        </w:rPr>
        <w:t>, действующего (ей) на основании ________________________________________________________</w:t>
      </w:r>
      <w:r>
        <w:rPr>
          <w:rFonts w:ascii="Garamond" w:hAnsi="Garamond"/>
          <w:color w:val="000000"/>
          <w:sz w:val="22"/>
          <w:szCs w:val="22"/>
          <w:lang w:eastAsia="en-US"/>
        </w:rPr>
        <w:t xml:space="preserve">, с другой стороны, </w:t>
      </w:r>
    </w:p>
    <w:p>
      <w:pPr>
        <w:widowControl w:val="0"/>
        <w:ind w:left="709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при одновременном упоминании именуемые «Стороны», а по отдельности «Сторона», 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Стороны настоящего Соглашения достигли взаимного согласия о составлении первичных документов, а также счетов-фактур, в электронной форме.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к процедуре заключения настоящего Соглашения применяются правила статьи 428 Гражданского кодекса Российской Федерации и условия настоящего Соглашения принимаются Стороной 2 путем присоединения к настоящему Соглашению в целом;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заключили настоящее Соглашение о нижеследующем:</w:t>
      </w:r>
    </w:p>
    <w:p>
      <w:pPr>
        <w:widowControl w:val="0"/>
        <w:ind w:firstLine="435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ПРЕДМЕТ СОГЛАШЕНИЯ</w:t>
      </w:r>
    </w:p>
    <w:p>
      <w:pPr>
        <w:widowControl w:val="0"/>
        <w:tabs>
          <w:tab w:val="num" w:pos="709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Предметом настоящего Соглашения является определение порядка и условий взаимодействия Сторон в процессе обмена документами в электронной форме во исполнение своих обязательств по договорам, заключаемым между ними, через Операторов юридически значимого электронного документооборота.</w:t>
      </w:r>
    </w:p>
    <w:p>
      <w:pPr>
        <w:widowControl w:val="0"/>
        <w:tabs>
          <w:tab w:val="num" w:pos="1003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ind w:left="437" w:hanging="437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ТЕРМИНЫ И ОПРЕДЕЛЕНИЯ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 (ЭД)</w:t>
      </w:r>
      <w:r>
        <w:rPr>
          <w:rFonts w:ascii="Garamond" w:hAnsi="Garamond"/>
          <w:bCs/>
          <w:iCs/>
          <w:color w:val="000000"/>
          <w:sz w:val="22"/>
          <w:szCs w:val="22"/>
        </w:rPr>
        <w:t>, документ в электронной форме) – документированная информация, предусмотренная Приложением № 1 к настоящему Соглашению,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(подписываемая информация).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Электронная подпись (ЭП)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документооборот (ЭДО)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- электронное взаимодействие Сторон настоящего Соглашения, осуществляемое путем обмена электронными документами, подписанными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Оператор юридически значимого электронного документооборота (Оператор 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российская организация, обладающая достаточными технологическими, кадровыми и правовыми возможностями для обеспечения юридически значимого документооборота в электронной форме с использованием электронной подписи между участниками электронного документооборота.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Аккредитованный удостоверяющий центр (Аккредитованный УЦ)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юридическое лицо, 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законодательством об электронной подписи, прошедший процедуру аккредитации – признания уполномоченным федеральным органом соответствия удостоверяющего центра требованиям Закона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Направляющая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направляющая электронный документ по телекоммуникационным каналам связи другой Стороне.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Получающая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получающая от Направляющей Стороны </w:t>
      </w:r>
      <w:r>
        <w:rPr>
          <w:rFonts w:ascii="Garamond" w:hAnsi="Garamond"/>
          <w:bCs/>
          <w:iCs/>
          <w:color w:val="000000"/>
          <w:sz w:val="22"/>
          <w:szCs w:val="22"/>
        </w:rPr>
        <w:lastRenderedPageBreak/>
        <w:t>электронный документ по телекоммуникационным каналам связи.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Владелец сертификата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лицо, которому в установленном порядке выдан сертификат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Средство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сертифицированное средство криптографической защиты информации, обеспечивающее реализацию следующих функций: создание электронной подписи, проверку электронной подписи, создание ключа электронной подписи и ключа проверки электронной подписи.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предназначенная для создания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(проверка электронной подписи).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Квалифицированный 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>(Квалифицированный сертификат)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сертификат ключа проверки электронной подписи, соответствующий требованиям, установленным Законом об электронной подписи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являющийся в связи с этим официальным документом.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Роуминг </w:t>
      </w:r>
      <w:r>
        <w:rPr>
          <w:rFonts w:ascii="Garamond" w:hAnsi="Garamond"/>
          <w:bCs/>
          <w:iCs/>
          <w:color w:val="000000"/>
          <w:sz w:val="22"/>
          <w:szCs w:val="22"/>
        </w:rPr>
        <w:t>– организация электронного документооборота между участниками информационного взаимодействия, которые работают в системах электронного документооборота, принадлежащих разным Операторам ЭДО через межоператорское взаимодействие.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Иные понятия, используемые в настоящем Соглашении, применяются в значениях, установленных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3. ОБЩИЕ ПОЛОЖЕНИЯ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3.1. Взаимодействие Сторон по настоящему Соглашению осуществляется путем обмена электронными документами между Сторонами, если иное прямо не указано в настоящем Соглашении.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3.2. Настоящим Соглашением Стороны устанавливают порядок электронного документооборота во исполнение своих обязательств по договорам, заключенным между Сторонами.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3.3. В рамках настоящего Соглашения Стороны осуществляют обмен электронными документами, перечень и форматы которых определены в Приложении № 1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3.4. Электронные документы, которыми Стороны обмениваются в рамках настоящего Соглашения, должны быть подписаны усиленной квалифицированной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3.5. В целях осуществления электронного документооборота в рамках настоящего Соглашения Сторона 1 и Сторона 2 обязаны самостоятельно получить сертификаты ключей проверки электронной подписи в аккредитованном удостоверяющем центре в порядке, предусмотренном законодательством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3.6. В целях осуществления электронного документооборота в рамках настоящего Соглашения Стороны руководствуются Гражданским кодексом Российской Федерации, Налоговым кодексом Российской Федерации, законодательством об электронной подписи и о бухгалтерском учете, а также актами уполномоченных государственных органов о формах и правилах заполнения (ведения) документов, применяемых при расчетах по налогу на добавленную стоимость. При этом в случае принятия и вступления в силу иных нормативных правовых актов, изменяющих либо отменяющих положения указанных выше актов, Стороны руководствуются положениями вступивших в силу нормативных правовых актов.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3.7. Отношения Сторон, связанные с формированием, редактированием, обработкой, отправкой, получением, отображением, хранением электронных документов в рамках настоящего Соглашения, регулируются в рамках соответствующих договорных отношений между Сторонами настоящего Соглашения и Операторами ЭДО в случае, если настоящим Соглашением не установлено иное.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3.8. В случае, если в целях обмена электронными документами в рамках настоящего Соглашения Стороны пользуются услугами различных Операторов ЭДО, обмен электронными документами осуществляется с использованием технологии роуминга.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3.9. До начала обмена электронными документами в соответствии с настоящим Соглашением </w:t>
      </w:r>
      <w:r>
        <w:rPr>
          <w:rFonts w:ascii="Garamond" w:hAnsi="Garamond"/>
          <w:bCs/>
          <w:iCs/>
          <w:color w:val="000000"/>
          <w:sz w:val="22"/>
          <w:szCs w:val="22"/>
        </w:rPr>
        <w:lastRenderedPageBreak/>
        <w:t>Стороны обмениваются документами, подтверждающими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3.10. Операторы ЭДО, услугами которых пользуются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4. ПРАВА И ОБЯЗАННОСТИ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4.1. Стороны осуществляют обмен документами в электронной форме в соответствии с настоящим Соглашением и согласно договорным обязательствам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4.2. Стороны настоящего Соглашения обязуются: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условия конфиденциальности, установленные статьей 10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требования эксплуатационной документации на средство электронной подписи;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содержать в исправном состоянии программно-технические средства, которые подключены к системе электронного документооборота,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сообщать Оператору ЭДО и другой Стороне обо всех попытках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своевременно уведомлять другую Сторону об изменении любых сведений, в случае, если изменение таких сведений может повлиять на своевременное получение или направление такой стороной любой информации, подлежащей направлению в соответствии с настоящим Соглашением, в том числе,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самостоятельно обеспечивать хранение направленных и полученных электронных документов в течение сроков, установленных законодательством Российской Федерации;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течение 3 (трех) рабочих дней с момента предоставления полномочия предоставлять другой Стороне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течение 3 (трех) рабочих дней с момента получения запроса другой Стороны предоставлять ей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информировать друг друга в порядке, установленном пунктом 14.3 настоящего Соглашения, о невозможности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Стороны, а также в случаях, предусмотренных пунктами 8.3, 16.2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в порядке, установленном пунктом 14.3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предусмотренных настоящим Соглашением случаях обмена документами, указанными в Приложении № 1 к настоящему Соглашению, на бумажном носителе, соблюдать сроки и порядок направления документов на бумажном носителе, предусмотренные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4.3. Стороны настоящего Соглашения вправе запрашивать у другой Стороны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5. ПРИМЕНЕНИЕ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5.1. Информация в электронной форме, подписанная усиленной квалифицированной электронной подписью,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требований статьи 7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5.2. Получение электронного документа, подписанного усиленной квалифицированной электронной подписью в соответствии с условиями настоящего Соглашения и наличие положительного результата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отсутствие изменений, внесенных в этот документ, являются необходимыми и достаточными условиями, позволяющими установить, что электронный документ исходит от Стороны, его отправившей.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5.3. Риск неправомерного подписания электронного документа электронной подписью несет Сторона, уполномоченный представитель которой является владельцем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5.4. Стороны обязуются использовать, принимать и признавать сертификаты ключей проверки электронной подписи, созданные аккредитованными удостоверяющими центрами.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5.5. В рамках настоящего Соглашения электронный документ может быть подписан только электронной подписью, ключ проверки электронной подписи которой зарегистрирован аккредитованным удостоверяющим центром.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5.6. Подписание электронного документа, аналог которого на бумажном носителе должен содержать подписи обеих Сторон, осуществляется путем последовательного подписания данного электронного документа каждой из Сторон.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5.7. Любой электронный документ, который должен быть подписан электронной подписью в соответствии с требованиями настоящего Соглашения, но не содержащий электронной подписи, не влечет правовых последствий.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5.8. Организация электронного документооборота между Сторонами настоящего Соглашения не отменяет возможности использования иных способов изготовления и обмена документами между Сторонами в рамках обязательств, не регулируемых настоящим Соглашением.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6. СРЕДСТВО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6.1. Стороны не позднее 5 (пяти) рабочих дней после подписания настоящего Соглашения обязуются за свой счет получить сертификаты электронной подписи и обеспечить наличие действующих сертификатов электронной подписи в течение всего срока действия данного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6.2. Условия использования средств электронной подписи, порядок проверки электронной подписи, правила обращения с ключами и сертификатами усиленной квалифицированной электронной подписи устанавливаются нормативными документами (регламентами) удостоверяющих центров, выдавших сертификаты ключей проверки электронной подписи, по данным вопросам Стороны руководствуются нормативными документами (регламентами) соответствующих удостоверяющих центров.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6.3. Стороны обязуются в качестве средства электронной подписи при выполнении функций создания электронной подписи в электронном документе с использованием ключа электронной подписи, подтверждения с использованием ключа проверки электронной подписи подлинности электронной подписи в электронном документе, создания ключей подписи и ключей проверки подписи использовать средства криптографической защиты информации, полученные законным путем, в соответствии с требованиями формуляров на указанные изделия.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6.4. Стороны обязуются обеспечивать сохранение в тайне ключей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7. УСЛОВИЯ РАВНОЗНАЧНОСТИ ЭЛЕКТРОННОЙ ПОДПИСИ СОБСТВЕННОРУЧНОЙ</w:t>
      </w:r>
    </w:p>
    <w:p>
      <w:pPr>
        <w:widowControl w:val="0"/>
        <w:jc w:val="center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Усиленная квалифицированная электронная подпись в электронном документе равнозначна собственноручной подписи владельца сертификата ключа проверки электронной подписи при одновременном выполнении следующих условий: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федеральными законами или принимаемыми в соответствии с ними нормативными правовыми актами не установлено требование о составлении подписываемого данной электронной подписью документа исключительно на бумажном носителе;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квалифицированный сертификат создан и выдан аккредитованным удостоверяющим </w:t>
      </w:r>
      <w:r>
        <w:rPr>
          <w:rFonts w:ascii="Garamond" w:hAnsi="Garamond"/>
          <w:bCs/>
          <w:iCs/>
          <w:color w:val="000000"/>
          <w:sz w:val="22"/>
          <w:szCs w:val="22"/>
        </w:rPr>
        <w:lastRenderedPageBreak/>
        <w:t>центром, аккредитация которого действительна на день выдачи указанного сертификата;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законодательством об электронной подписи, и с использованием квалифицированного сертификата лица, подписавшего электронный документ.</w:t>
      </w: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8. ВЗАИМОДЕЙСТВИЕ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С ОПЕРАТОРАМИ ЭЛЕКТРОННОГО ДОКУМЕНТООБОРОТА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8.1. До начала осуществления обмена электронными документами каждая из Сторон обязуется в установленном порядке обеспечить подключение к системе электронного документооборота Оператора ЭДО, в том числе заключить соответствующие договоры, оформить и представить Оператору ЭДО заявление об участии в электронном документообороте, а также получить у Оператора ЭДО идентификатор участника обмена, реквизиты доступа и другие необходимые данные, о чем уведомляет другую Сторону. В уведомлении указывается идентификатор участника обмена.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8.2. Последствия прекращения соответствия Оператора ЭДО </w:t>
      </w:r>
      <w:r>
        <w:rPr>
          <w:rFonts w:ascii="Garamond" w:hAnsi="Garamond"/>
          <w:bCs/>
          <w:iCs/>
          <w:sz w:val="22"/>
          <w:szCs w:val="22"/>
        </w:rPr>
        <w:t>требованиям</w:t>
      </w:r>
      <w:r>
        <w:rPr>
          <w:rFonts w:ascii="Garamond" w:hAnsi="Garamond"/>
          <w:bCs/>
          <w:iCs/>
          <w:color w:val="000000"/>
          <w:sz w:val="22"/>
          <w:szCs w:val="22"/>
        </w:rPr>
        <w:t>, утверждаемым федеральным органом исполнительной власти, уполномоченным осуществлять функции по контролю и надзору в сфере налогов и сборов, регулируются в рамках соответствующих договорных отношений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8.3. В случае, если Сторона намеревается сменить Оператора ЭДО, услугами которого она пользуется в рамках настоящего Соглашения, такая Сторона обязана до начала обмена электронными документами посредством нового Оператора ЭДО предоставить другой Стороне документы и сведения, предусмотренные пунктами 8.1 настоящего Соглашения.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9. ПОРЯДОК ПРЕДОСТАВЛЕНИЯ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(ВЫСТАВЛЕНИЯ, НАПРАВЛЕНИЯ, ПЕРЕДАЧИ, ПОДАЧИ)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ОТДЕЛЬНЫХ ВИДОВ ДОКУМЕНТОВ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9.1. При выставлении и получении счетов-фактур в электронной форме Стороны руководствуются порядком, установленным компетентным государственным органом, а также форматом предоставления счета-фактуры в электронной форме, утвержденным федеральным органом исполнительной власти, уполномоченным по контролю и надзору в области налогов и сборов.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9.2. При составлении, подписании и направлении Сторонами друг другу первичных документов, Стороны руководствуются настоящим Соглашением, правилами электронного документооборота Оператора ЭДО, с которым у Стороны заключен соответствующий договор.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9.3. Первичные документы  направляются в сроки, установленные соответствующим договором, заключенным между Сторонами настоящего Соглашения, во исполнение обязательств по которому осуществляется обмен электронными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9.4. Первичные документы считаются доставленными Стороне настоящего Соглашения при получении направляющей Стороной подтверждения о получении от Оператора ЭДО, с которым у получающей Стороны заключен соответствующий договор.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9.5. Организация электронного документооборота между Сторонами настоящего Соглашения не лишает Стороны права выставления первичных документов и счетов-фактур на бумажном носителе в случаях, предусмотренных настоящим Соглашением и при условии направления уведомления о невозможности обмена документами в электронной форме в порядке, установленном пунктом 14.3 настоящего Соглашения, когда обязанность направления указанного уведомления предусмотрена настоящим Соглашением. В случае выставления направляющей Стороной и получения получающей Стороной документов на бумажном носителе их перевыставление в электронной форме не допускается.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10. КОНФИДЕНЦИАЛЬНОСТЬ</w:t>
      </w: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10.1. Информация и документы, обмен которыми осуществляется между Сторонами в целях исполнения настоящего Соглашения, передаются в зашифрованном или незашифрованном виде. Стороны обязуются обеспечивать конфиденциальность ключа электронной подписи, владельцем которого является уполномоченный представитель Стороны, незамедлительно информировать Оператора ЭДО и другую сторону о факте компрометации ключа электронной подписи в порядке, установленном пунктом 14.1 настоящего Соглашения, владельцем которого является уполномоченный представитель Стороны, и прекратить его использование.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10.2. Если имел место факт компрометации ключа электронной подписи, владельцем которого является уполномоченный представитель Направляющей Стороны, и Направляющая Сторона не уведомила об этом Получающую Сторону,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10.3. Сторона, нарушившая условия о конфиденциальности ключа электронной подписи, обязана возместить другой Стороне возникшие в результате такого нарушения убытки.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11. ОТВЕТСТВЕННОСТЬ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11.1. Каждая из Сторон несет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11.2. Усиленная квалифицированная электронная подпись, которой подписан электронный документ, признается действительной до тех пор, пока решением суда не установлено иное.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12. ОБСТОЯТЕЛЬСТВА, ОСВОБОЖДАЮЩИЕ ОТ ОТВЕТСТВЕННОСТИ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12.1. Каждая из Сторон освобождается от ответственности за полное или частичное неисполнение обязательств по настоящему Соглашению, если такое неисполнение явилось результатом действия чрезвычайных и непредотвратимых при данных условиях обстоятельств (обстоятельств непреодолимой силы), возникших после заключения настоящего Соглашения. В случае наступления таких обстоятельств течение срока исполнения обязательств по настоящему Соглашению приостанавливается на время действия обстоятельств непреодолимой силы.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3" w:name="_Ref40666627"/>
      <w:r>
        <w:rPr>
          <w:rFonts w:ascii="Garamond" w:hAnsi="Garamond"/>
          <w:bCs/>
          <w:iCs/>
          <w:color w:val="000000"/>
          <w:sz w:val="22"/>
          <w:szCs w:val="22"/>
        </w:rPr>
        <w:t xml:space="preserve">12.2. Сторона, затронутая обстоятельствами непреодолимой силы, обязана предпринять все возможные меры с целью максимально ограничить негативные последствия, вызванные указанными обстоятельствами и не позднее 3 (трех) рабочих дней со дня возникновения таких обстоятельств известить другие Стороны в порядке, установленном пунктом 14.1 настоящего Соглашения. </w:t>
      </w:r>
    </w:p>
    <w:bookmarkEnd w:id="3"/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12.3. Отсутствие уведомления или несвоевременное 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 по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12.4. Каждая из Сторон освобождается от ответственности за нарушение своих обязательств по настоящему Соглашению, если в своих действиях (бездействии) она обоснованно полагалась на документы, переданные ей другой Стороной или компетентными государственными органами.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13. ПОРЯДОК РАЗРЕШЕНИЯ СПОРОВ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13.1. 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13.2. Споры и разногласия, вытекающие из настоящего Соглашения или в связи с ним, разрешаются путем переговоров, а в случае недостижения согласия – в Арбитражном суде города Москвы только после соблюдения претензионного порядка урегулирования споров, срок для ответа на Претензию составляет 10 (десять) рабочих дней с момента ее получения.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13.3.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суде.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13.4. В качестве письменного доказательства в суд предоставляется копия подписанного c применением электронной подписи электронного документа на бумажном носителе, изготовленная в соответствии с требованиями, установленными в рамках соответствующих договорных отношений </w:t>
      </w:r>
      <w:r>
        <w:rPr>
          <w:rFonts w:ascii="Garamond" w:hAnsi="Garamond"/>
          <w:bCs/>
          <w:iCs/>
          <w:color w:val="000000"/>
          <w:sz w:val="22"/>
          <w:szCs w:val="22"/>
        </w:rPr>
        <w:lastRenderedPageBreak/>
        <w:t>между Сторонами настоящего Соглашения и Операторами ЭДО.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13.5. При разрешении в претензионном порядке споров, связанных с оспариванием наличия и (или) подлинности электронной подписи, в обязательном порядке производится экспертиза, для осуществления которой привлекается аккредитованный удостоверяющий центр, изготовивший сертификат ключа подписи, с использованием которого была сформирована электронная подпись.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13.6. Экспертиза, указанная в пункте 13.5 настоящего Соглашения, проводится в порядке, установленном договорами, регулирующими отношения Сторон настоящего Соглашения с соответствующими аккредитованными удостоверяющими центрами.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14. СООБЩЕНИЯ И УВЕДОМЛЕНИЯ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4" w:name="_Ref98822086"/>
      <w:bookmarkStart w:id="5" w:name="_Ref36441880"/>
      <w:bookmarkStart w:id="6" w:name="_Toc443367938"/>
      <w:bookmarkStart w:id="7" w:name="_Toc496492894"/>
      <w:r>
        <w:rPr>
          <w:rFonts w:ascii="Garamond" w:hAnsi="Garamond"/>
          <w:bCs/>
          <w:iCs/>
          <w:color w:val="000000"/>
          <w:sz w:val="22"/>
          <w:szCs w:val="22"/>
        </w:rPr>
        <w:t xml:space="preserve">14.1. В случаях, предусмотренных пунктами 10.1 и 12.2 настоящего Соглашения, Сторона, затронутая обстоятельствами непреодолимой силы, равно как и Сторона, обязанная уведомить другую Сторону о факте компрометации ключа электронной подписи, уведомляет об этом такую Сторону с использованием средств оперативной связи, указанных в Приложении № 2 к настоящему Соглашению, с доставкой оригинала на бумажном носителе курьером или письмом с уведомлением о вручении и описью вложения через государственную почту или организации, предоставляющие услуги экспресс-доставки отправлений. Такое уведомление должно быть подписано уполномоченным лицом и скреплено печатью соответствующей Стороны при ее наличии </w:t>
      </w:r>
      <w:r>
        <w:rPr>
          <w:rFonts w:ascii="Garamond" w:hAnsi="Garamond"/>
          <w:bCs/>
          <w:iCs/>
          <w:sz w:val="22"/>
          <w:szCs w:val="22"/>
        </w:rPr>
        <w:t>с приложением документов, подтверждающих полномочия лиц, подписавших соответствующее уведомление</w:t>
      </w:r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14.2. В случае, предусмотренном пунктом 3.9 настоящего Соглашения, документы направляются на бумажном носителе курьером или письмом с уведомлением о вручении и описью вложения через АО «Почта России» или организации предоставляющие услуги экспресс-доставки отправлений.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14.3. Сторона, обязанная направить другой Стороне информацию о невозможности обмена документами в электронной форме, подписанными усиленной квалифицированной электронной подписью, и о возобновлении электронного документооборота направляет другой Стороне соответствующее уведомление в произвольной форме с использованием средств оперативной связи, указанных в Приложении № 2 к настоящему Соглашению, а также по адресу, указанному в пункте 18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14.4. Документы, сообщения и уведомления на бумажном носителе, в том числе документы, предусмотренные пунктом 3.9 настоящего Соглашения, направляются по адресам, указанным в статье 18 настоящего Соглашения</w:t>
      </w:r>
      <w:bookmarkEnd w:id="4"/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14.5. Документы, сообщения и уведомления считаются полученными:</w:t>
      </w:r>
      <w:bookmarkEnd w:id="5"/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доставке курьером – в дату, указанную в отметке получившей Стороны на копии переданного курьером документа;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отправке заказным письмом – в дату, указанную в уведомлении о вручении;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направлении по факсу – в дату получения письменного подтверждения другой Стороны о доставке, которое также может быть отправлено по факсу.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14.6. Сообщения и уведомления на бумажном носителе, полученные после 17:00 по московскому времени в рабочий день, или полученные в день, не являющийся рабочим, считаются полученными в следующий рабочий день.</w:t>
      </w:r>
      <w:bookmarkEnd w:id="6"/>
      <w:bookmarkEnd w:id="7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14.7. Обмен документами, входящими в перечень, предусмотренный Приложением № 1 к настоящему Соглашению, на бумажном носителе, направляемыми в соответствии с пунктами 8.3, 15.2, 16.2, 16.3 настоящего Соглашения, осуществляется в порядке, предусмотренном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 Положения пунктов 14.4 – 14.6 на отношения, связанные с обменом Сторонами настоящего Соглашения такими документами, не распространяются.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14.8. Каждая из Сторон определяет из числа собственных сотрудников уполномоченных представителей, ответственных за взаимодействие с другой Стороной, и уведомляет об этом другую Сторону, направляя сообщения на адреса электронной почты, согласованные Сторонами путем подписания Перечня контактной информации по форме Приложения № 2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15. ДЕЙСТВИЕ, ИЗМЕНЕНИЕ И ПРЕКРАЩЕНИЕ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15.1. Присоединение к настоящему Соглашению осуществляется путем его подписания Сторонами.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15.2 Настоящее Соглашение вступает в силу с момента его подписания Сторонами, действует без ограничения срока действия. Документы, указанные в Приложении № 1 к настоящему Соглашению, </w:t>
      </w:r>
      <w:r>
        <w:rPr>
          <w:rFonts w:ascii="Garamond" w:hAnsi="Garamond"/>
          <w:bCs/>
          <w:iCs/>
          <w:color w:val="000000"/>
          <w:sz w:val="22"/>
          <w:szCs w:val="22"/>
        </w:rPr>
        <w:lastRenderedPageBreak/>
        <w:t>выставляются в электронном виде в отношении расчетных периодов, следующих за месяцем подписания настоящего Соглашения. За расчетный период, являющийся месяцем подписания настоящего Соглашения, Стороны осуществляют обмен документами, входящими в перечень, предусмотренный Приложением № 1 к настоящему Соглашению, 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15.3. Действие настоящего Соглашения распространяется на правоотношения, возникшие как из договоров, заключенных между Сторонами до момента вступления в силу настоящего Соглашения, так и из договоров, которые будут заключены между Сторонами в будущем.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15.4. Действие настоящего Соглашения прекращается в следующих случаях: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по письменному соглашению Сторон, подписанному уполномоченными представителями Сторон;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одностороннем внесудебном порядке по решению любой из Сторон настоящего Соглашения, при этом действие настоящего Соглашения прекращается по истечении 30 (тридцати) календарных дней с даты направления Стороной, принявшей решение о расторжении Соглашения в одностороннем внесудебном порядке, другой Стороне уведомления о его расторжении;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в иных случаях, предусмотренных законодательством Российской Федерации.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15.5. Прекращение настоящего Соглашения не освобождает Стороны от исполнения обязательств, возникших до его прекращения, а также от ответственности за неисполнение (ненадлежащее исполнение) условий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16. ПРОЧИЕ УСЛОВИЯ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16.1. Течение сроков по настоящему Соглашению определяется по московскому времени.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16.2. В случае если Направляющая Сторона не получила от Оператора ЭДО подтверждение до 17:30 следующего рабочего дня с момента отправки электронного документа,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копия документа направляется также по факсу или на адрес электронной почты, указанные в Приложении № 2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16.3. В период действия обстоятельств, обусловленных невозможностью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одной из Сторон Настоящего Соглашения, до момента возобновления электронного документооборота Стороны производят обмен документами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16.4. В отношениях, не урегулированных настоящим Соглашением, Стороны руководствуются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8" w:name="_Ref36441893"/>
      <w:r>
        <w:rPr>
          <w:rFonts w:ascii="Garamond" w:hAnsi="Garamond"/>
          <w:bCs/>
          <w:iCs/>
          <w:color w:val="000000"/>
          <w:sz w:val="22"/>
          <w:szCs w:val="22"/>
        </w:rPr>
        <w:t>16.5. В случае реорганизации одной из Сторон (слияние, разделение, присоединение или другие формы реорганизации) орган, принявший данное решение, обязан указать в своем решении правопреемника, к которому переходят права и обязанности по настоящему Соглашению. При этом реорганизованная Сторона обязана не позднее 7 (семи) рабочих дней с даты принятия данного решения уведомить другую Сторону о реорганизации.</w:t>
      </w:r>
      <w:bookmarkEnd w:id="8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16.6. Настоящее Соглашение составлено на русском языке в двух подлинных экземплярах, имеющих одинаковую юридическую силу, – по одному для каждой Стороны.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17. ПРИЛОЖЕНИЯ,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ЯВЛЯЮЩИЕСЯ НЕОТЪЕМЛЕМОЙ ЧАСТЬЮ НАСТОЯЩЕГО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1. Перечень и форматы электронных документов;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2. Перечень контактной информации;</w:t>
      </w: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pStyle w:val="a6"/>
        <w:widowControl w:val="0"/>
        <w:numPr>
          <w:ilvl w:val="0"/>
          <w:numId w:val="40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>
        <w:tc>
          <w:tcPr>
            <w:tcW w:w="4785" w:type="dxa"/>
          </w:tcPr>
          <w:p>
            <w:pPr>
              <w:rPr>
                <w:b/>
              </w:rPr>
            </w:pPr>
            <w:bookmarkStart w:id="9" w:name="CompanyName2"/>
            <w:r>
              <w:rPr>
                <w:b/>
              </w:rPr>
              <w:t xml:space="preserve"> </w:t>
            </w:r>
            <w:bookmarkEnd w:id="9"/>
          </w:p>
        </w:tc>
        <w:tc>
          <w:tcPr>
            <w:tcW w:w="4786" w:type="dxa"/>
          </w:tcPr>
          <w:p>
            <w:pPr>
              <w:rPr>
                <w:b/>
                <w:lang w:val="en-US"/>
              </w:rPr>
            </w:pPr>
            <w:bookmarkStart w:id="10" w:name="CustName2"/>
            <w:r>
              <w:rPr>
                <w:b/>
                <w:lang w:val="en-US"/>
              </w:rPr>
              <w:t xml:space="preserve"> </w:t>
            </w:r>
            <w:bookmarkEnd w:id="10"/>
          </w:p>
        </w:tc>
      </w:tr>
      <w:tr>
        <w:tc>
          <w:tcPr>
            <w:tcW w:w="4785" w:type="dxa"/>
          </w:tcPr>
          <w:p>
            <w:r>
              <w:t xml:space="preserve">Адрес: </w:t>
            </w:r>
            <w:bookmarkStart w:id="11" w:name="CompanyAddress"/>
            <w:r>
              <w:t xml:space="preserve"> </w:t>
            </w:r>
            <w:bookmarkEnd w:id="11"/>
          </w:p>
          <w:p>
            <w:r>
              <w:t xml:space="preserve">ИНН:   </w:t>
            </w:r>
            <w:bookmarkStart w:id="12" w:name="CompanyINN"/>
            <w:r>
              <w:t xml:space="preserve"> </w:t>
            </w:r>
            <w:bookmarkEnd w:id="12"/>
          </w:p>
          <w:p>
            <w:r>
              <w:t xml:space="preserve">КПП:   </w:t>
            </w:r>
            <w:bookmarkStart w:id="13" w:name="CompanyKPP"/>
            <w:r>
              <w:t xml:space="preserve"> </w:t>
            </w:r>
            <w:bookmarkEnd w:id="13"/>
          </w:p>
          <w:p>
            <w:r>
              <w:t xml:space="preserve">р/с:       </w:t>
            </w:r>
            <w:bookmarkStart w:id="14" w:name="CompanyBankAccount"/>
            <w:r>
              <w:t xml:space="preserve"> </w:t>
            </w:r>
            <w:bookmarkEnd w:id="14"/>
          </w:p>
          <w:p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</w:t>
            </w:r>
            <w:bookmarkStart w:id="15" w:name="CompanyBankName"/>
            <w:r>
              <w:rPr>
                <w:lang w:val="en-US"/>
              </w:rPr>
              <w:t xml:space="preserve"> </w:t>
            </w:r>
            <w:bookmarkEnd w:id="15"/>
            <w:r>
              <w:t xml:space="preserve">, </w:t>
            </w:r>
            <w:bookmarkStart w:id="16" w:name="CompanyBankTown"/>
            <w:r>
              <w:rPr>
                <w:lang w:val="en-US"/>
              </w:rPr>
              <w:t xml:space="preserve"> </w:t>
            </w:r>
            <w:bookmarkEnd w:id="16"/>
          </w:p>
          <w:p>
            <w:r>
              <w:t xml:space="preserve">к/с:       </w:t>
            </w:r>
            <w:bookmarkStart w:id="17" w:name="CompanyCorrAcc"/>
            <w:r>
              <w:rPr>
                <w:lang w:val="en-US"/>
              </w:rPr>
              <w:t xml:space="preserve"> </w:t>
            </w:r>
            <w:bookmarkEnd w:id="17"/>
          </w:p>
          <w:p>
            <w:pPr>
              <w:rPr>
                <w:lang w:val="en-US"/>
              </w:rPr>
            </w:pPr>
            <w:r>
              <w:t xml:space="preserve">БИК:    </w:t>
            </w:r>
            <w:bookmarkStart w:id="18" w:name="CompanyBIK"/>
            <w:r>
              <w:rPr>
                <w:lang w:val="en-US"/>
              </w:rPr>
              <w:t xml:space="preserve"> </w:t>
            </w:r>
            <w:bookmarkEnd w:id="18"/>
          </w:p>
        </w:tc>
        <w:tc>
          <w:tcPr>
            <w:tcW w:w="4786" w:type="dxa"/>
          </w:tcPr>
          <w:p>
            <w:r>
              <w:t xml:space="preserve">Адрес: </w:t>
            </w:r>
            <w:bookmarkStart w:id="19" w:name="CustAddress"/>
            <w:r>
              <w:rPr>
                <w:lang w:val="en-US"/>
              </w:rPr>
              <w:t xml:space="preserve"> </w:t>
            </w:r>
            <w:bookmarkEnd w:id="19"/>
          </w:p>
          <w:p>
            <w:r>
              <w:t xml:space="preserve">ИНН:   </w:t>
            </w:r>
            <w:bookmarkStart w:id="20" w:name="CustINN"/>
            <w:r>
              <w:rPr>
                <w:lang w:val="en-US"/>
              </w:rPr>
              <w:t xml:space="preserve"> </w:t>
            </w:r>
            <w:bookmarkEnd w:id="20"/>
          </w:p>
          <w:p>
            <w:r>
              <w:t xml:space="preserve">КПП:   </w:t>
            </w:r>
            <w:bookmarkStart w:id="21" w:name="CustKPP"/>
            <w:r>
              <w:rPr>
                <w:lang w:val="en-US"/>
              </w:rPr>
              <w:t xml:space="preserve"> </w:t>
            </w:r>
            <w:bookmarkEnd w:id="21"/>
          </w:p>
          <w:p>
            <w:r>
              <w:t xml:space="preserve">р/с:       </w:t>
            </w:r>
            <w:bookmarkStart w:id="22" w:name="CustBankAccount"/>
            <w:r>
              <w:rPr>
                <w:lang w:val="en-US"/>
              </w:rPr>
              <w:t xml:space="preserve"> </w:t>
            </w:r>
            <w:bookmarkEnd w:id="22"/>
          </w:p>
          <w:p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</w:t>
            </w:r>
            <w:bookmarkStart w:id="23" w:name="CustBankName"/>
            <w:r>
              <w:rPr>
                <w:lang w:val="en-US"/>
              </w:rPr>
              <w:t xml:space="preserve"> </w:t>
            </w:r>
            <w:bookmarkEnd w:id="23"/>
            <w:r>
              <w:t xml:space="preserve">, </w:t>
            </w:r>
            <w:bookmarkStart w:id="24" w:name="CustBankTown"/>
            <w:r>
              <w:rPr>
                <w:lang w:val="en-US"/>
              </w:rPr>
              <w:t xml:space="preserve"> </w:t>
            </w:r>
            <w:bookmarkEnd w:id="24"/>
          </w:p>
          <w:p>
            <w:pPr>
              <w:rPr>
                <w:lang w:val="en-US"/>
              </w:rPr>
            </w:pPr>
            <w:r>
              <w:t xml:space="preserve">к/с:       </w:t>
            </w:r>
            <w:bookmarkStart w:id="25" w:name="CustCorrAcc"/>
            <w:r>
              <w:rPr>
                <w:lang w:val="en-US"/>
              </w:rPr>
              <w:t xml:space="preserve"> </w:t>
            </w:r>
            <w:bookmarkEnd w:id="25"/>
          </w:p>
          <w:p>
            <w:r>
              <w:t xml:space="preserve">БИК:    </w:t>
            </w:r>
            <w:bookmarkStart w:id="26" w:name="CustBIK"/>
            <w:r>
              <w:rPr>
                <w:lang w:val="en-US"/>
              </w:rPr>
              <w:t xml:space="preserve"> </w:t>
            </w:r>
            <w:bookmarkEnd w:id="26"/>
          </w:p>
        </w:tc>
      </w:tr>
      <w:tr>
        <w:tc>
          <w:tcPr>
            <w:tcW w:w="4785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  <w:r>
              <w:t>«___»______________ 20___г.</w:t>
            </w:r>
          </w:p>
        </w:tc>
        <w:tc>
          <w:tcPr>
            <w:tcW w:w="4786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  <w:jc w:val="both"/>
            </w:pPr>
            <w:r>
              <w:t>«___»______________ 20___г.</w:t>
            </w:r>
          </w:p>
        </w:tc>
      </w:tr>
    </w:tbl>
    <w:p>
      <w:pPr>
        <w:widowControl w:val="0"/>
        <w:spacing w:line="288" w:lineRule="auto"/>
        <w:jc w:val="right"/>
        <w:rPr>
          <w:rFonts w:ascii="Garamond" w:hAnsi="Garamond"/>
          <w:b/>
        </w:rPr>
      </w:pPr>
      <w:r>
        <w:br w:type="page"/>
      </w:r>
      <w:r>
        <w:rPr>
          <w:rFonts w:ascii="Garamond" w:hAnsi="Garamond"/>
          <w:b/>
        </w:rPr>
        <w:lastRenderedPageBreak/>
        <w:t xml:space="preserve">Приложение № 1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и форматы электронных документов</w:t>
      </w:r>
    </w:p>
    <w:p>
      <w:pPr>
        <w:pStyle w:val="txt"/>
        <w:spacing w:before="0" w:beforeAutospacing="0" w:after="0" w:afterAutospacing="0"/>
        <w:jc w:val="both"/>
        <w:rPr>
          <w:rFonts w:ascii="Garamond" w:hAnsi="Garamond" w:cs="Garamond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371"/>
        <w:gridCol w:w="2410"/>
        <w:gridCol w:w="3260"/>
      </w:tblGrid>
      <w:tr>
        <w:tc>
          <w:tcPr>
            <w:tcW w:w="593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электронного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Формат электронного документа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формата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Счет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11"/>
              <w:ind w:left="0"/>
              <w:jc w:val="center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11"/>
              <w:ind w:left="0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Приказ ФНС России от 19.12.2018 № ММВ-7-15/820@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Корректировочные:</w:t>
            </w:r>
          </w:p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Приказ ФНС России от 12.10.2020 N ЕД-7-26/736@)</w:t>
            </w:r>
          </w:p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Товарная накладная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ММВ-7-10/551@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Акт об оказании услуги, Акт о выполненных работах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ММВ-7-10/552@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color w:val="1F497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 xml:space="preserve">Акт сверки </w:t>
            </w:r>
          </w:p>
          <w:p>
            <w:pPr>
              <w:rPr>
                <w:rFonts w:ascii="Garamond" w:hAnsi="Garamond" w:cs="Garamond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 w:line="25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spacing w:line="256" w:lineRule="auto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Приказ ФНС России от 13.05.2022 N ЕД-7-26/405@</w:t>
            </w: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Приложение № 2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контактной информации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93"/>
        <w:gridCol w:w="2096"/>
        <w:gridCol w:w="3543"/>
        <w:gridCol w:w="3261"/>
      </w:tblGrid>
      <w:tr>
        <w:tc>
          <w:tcPr>
            <w:tcW w:w="59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№ п/п</w:t>
            </w:r>
          </w:p>
        </w:tc>
        <w:tc>
          <w:tcPr>
            <w:tcW w:w="2096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354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1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2</w:t>
            </w:r>
          </w:p>
        </w:tc>
      </w:tr>
      <w:tr>
        <w:trPr>
          <w:trHeight w:val="78"/>
        </w:trP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Телефон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(495) 710-45-67 доб. 46-02, доб.42-01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Факс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(495) 710-62-99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hyperlink r:id="rId8" w:history="1">
              <w:r>
                <w:rPr>
                  <w:rStyle w:val="af6"/>
                  <w:rFonts w:ascii="Garamond" w:hAnsi="Garamond" w:cs="Garamond"/>
                  <w:sz w:val="22"/>
                  <w:szCs w:val="22"/>
                  <w:lang w:val="en-US"/>
                </w:rPr>
                <w:t>post</w:t>
              </w:r>
              <w:r>
                <w:rPr>
                  <w:rStyle w:val="af6"/>
                  <w:rFonts w:ascii="Garamond" w:hAnsi="Garamond" w:cs="Garamond"/>
                  <w:sz w:val="22"/>
                  <w:szCs w:val="22"/>
                </w:rPr>
                <w:t>@</w:t>
              </w:r>
              <w:r>
                <w:rPr>
                  <w:rStyle w:val="af6"/>
                  <w:rFonts w:ascii="Garamond" w:hAnsi="Garamond" w:cs="Garamond"/>
                  <w:sz w:val="22"/>
                  <w:szCs w:val="22"/>
                  <w:lang w:val="en-US"/>
                </w:rPr>
                <w:t>cfrenergo</w:t>
              </w:r>
              <w:r>
                <w:rPr>
                  <w:rStyle w:val="af6"/>
                  <w:rFonts w:ascii="Garamond" w:hAnsi="Garamond" w:cs="Garamond"/>
                  <w:sz w:val="22"/>
                  <w:szCs w:val="22"/>
                </w:rPr>
                <w:t>.</w:t>
              </w:r>
              <w:r>
                <w:rPr>
                  <w:rStyle w:val="af6"/>
                  <w:rFonts w:ascii="Garamond" w:hAnsi="Garamond" w:cs="Garamond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txt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Контактное лицо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</w:pP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01837AC"/>
    <w:lvl w:ilvl="0">
      <w:start w:val="1"/>
      <w:numFmt w:val="none"/>
      <w:pStyle w:val="1"/>
      <w:suff w:val="nothing"/>
      <w:lvlText w:val="9"/>
      <w:lvlJc w:val="left"/>
      <w:pPr>
        <w:ind w:left="396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F7411"/>
    <w:multiLevelType w:val="hybridMultilevel"/>
    <w:tmpl w:val="191CCB72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0C6363B1"/>
    <w:multiLevelType w:val="hybridMultilevel"/>
    <w:tmpl w:val="A174504A"/>
    <w:lvl w:ilvl="0" w:tplc="5492C458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61D071B"/>
    <w:multiLevelType w:val="multilevel"/>
    <w:tmpl w:val="6886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CD7C6E"/>
    <w:multiLevelType w:val="hybridMultilevel"/>
    <w:tmpl w:val="B8C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48FF"/>
    <w:multiLevelType w:val="hybridMultilevel"/>
    <w:tmpl w:val="5DF01C58"/>
    <w:lvl w:ilvl="0" w:tplc="BCB6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5132"/>
    <w:multiLevelType w:val="hybridMultilevel"/>
    <w:tmpl w:val="E772B134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74B32"/>
    <w:multiLevelType w:val="multilevel"/>
    <w:tmpl w:val="4854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2" w15:restartNumberingAfterBreak="0">
    <w:nsid w:val="253E7B30"/>
    <w:multiLevelType w:val="hybridMultilevel"/>
    <w:tmpl w:val="BEF090EE"/>
    <w:lvl w:ilvl="0" w:tplc="29B6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F12"/>
    <w:multiLevelType w:val="multilevel"/>
    <w:tmpl w:val="C478E1FA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 w15:restartNumberingAfterBreak="0">
    <w:nsid w:val="301667A9"/>
    <w:multiLevelType w:val="multilevel"/>
    <w:tmpl w:val="1ED43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B30E5"/>
    <w:multiLevelType w:val="hybridMultilevel"/>
    <w:tmpl w:val="B07ABA8E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38C225CB"/>
    <w:multiLevelType w:val="hybridMultilevel"/>
    <w:tmpl w:val="300A347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EF612D"/>
    <w:multiLevelType w:val="multilevel"/>
    <w:tmpl w:val="75A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C59A5"/>
    <w:multiLevelType w:val="multilevel"/>
    <w:tmpl w:val="90B87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3FF42CE2"/>
    <w:multiLevelType w:val="hybridMultilevel"/>
    <w:tmpl w:val="BCAA71B8"/>
    <w:lvl w:ilvl="0" w:tplc="FB384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357"/>
    <w:multiLevelType w:val="hybridMultilevel"/>
    <w:tmpl w:val="AA0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25B95"/>
    <w:multiLevelType w:val="hybridMultilevel"/>
    <w:tmpl w:val="668A28E0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E9A"/>
    <w:multiLevelType w:val="hybridMultilevel"/>
    <w:tmpl w:val="CEEE2E0C"/>
    <w:lvl w:ilvl="0" w:tplc="2368CE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C764C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F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6C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F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93E38"/>
    <w:multiLevelType w:val="hybridMultilevel"/>
    <w:tmpl w:val="436018E6"/>
    <w:lvl w:ilvl="0" w:tplc="F7308756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6" w15:restartNumberingAfterBreak="0">
    <w:nsid w:val="57702DB7"/>
    <w:multiLevelType w:val="hybridMultilevel"/>
    <w:tmpl w:val="1618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72BC"/>
    <w:multiLevelType w:val="multilevel"/>
    <w:tmpl w:val="BD42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46F1"/>
    <w:multiLevelType w:val="hybridMultilevel"/>
    <w:tmpl w:val="10C47496"/>
    <w:lvl w:ilvl="0" w:tplc="10C0EFB2">
      <w:start w:val="18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0" w15:restartNumberingAfterBreak="0">
    <w:nsid w:val="616530F0"/>
    <w:multiLevelType w:val="multilevel"/>
    <w:tmpl w:val="594871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1" w15:restartNumberingAfterBreak="0">
    <w:nsid w:val="63D10B6F"/>
    <w:multiLevelType w:val="hybridMultilevel"/>
    <w:tmpl w:val="C90E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029"/>
    <w:multiLevelType w:val="hybridMultilevel"/>
    <w:tmpl w:val="4CFA8FCA"/>
    <w:lvl w:ilvl="0" w:tplc="889C4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84549F"/>
    <w:multiLevelType w:val="hybridMultilevel"/>
    <w:tmpl w:val="238C38EC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51FAF"/>
    <w:multiLevelType w:val="hybridMultilevel"/>
    <w:tmpl w:val="202A6952"/>
    <w:lvl w:ilvl="0" w:tplc="4E905A0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DD431F5"/>
    <w:multiLevelType w:val="hybridMultilevel"/>
    <w:tmpl w:val="EDA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C69A7"/>
    <w:multiLevelType w:val="hybridMultilevel"/>
    <w:tmpl w:val="E00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F2491"/>
    <w:multiLevelType w:val="multilevel"/>
    <w:tmpl w:val="3BD4BF1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7487237D"/>
    <w:multiLevelType w:val="hybridMultilevel"/>
    <w:tmpl w:val="69F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80A6DA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2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39"/>
  </w:num>
  <w:num w:numId="10">
    <w:abstractNumId w:val="27"/>
  </w:num>
  <w:num w:numId="11">
    <w:abstractNumId w:val="14"/>
  </w:num>
  <w:num w:numId="12">
    <w:abstractNumId w:val="37"/>
  </w:num>
  <w:num w:numId="13">
    <w:abstractNumId w:val="13"/>
  </w:num>
  <w:num w:numId="14">
    <w:abstractNumId w:val="23"/>
  </w:num>
  <w:num w:numId="15">
    <w:abstractNumId w:val="21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9"/>
  </w:num>
  <w:num w:numId="23">
    <w:abstractNumId w:val="34"/>
  </w:num>
  <w:num w:numId="24">
    <w:abstractNumId w:val="40"/>
  </w:num>
  <w:num w:numId="25">
    <w:abstractNumId w:val="10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22"/>
  </w:num>
  <w:num w:numId="31">
    <w:abstractNumId w:val="7"/>
  </w:num>
  <w:num w:numId="32">
    <w:abstractNumId w:val="36"/>
  </w:num>
  <w:num w:numId="33">
    <w:abstractNumId w:val="15"/>
  </w:num>
  <w:num w:numId="34">
    <w:abstractNumId w:val="32"/>
  </w:num>
  <w:num w:numId="35">
    <w:abstractNumId w:val="30"/>
  </w:num>
  <w:num w:numId="36">
    <w:abstractNumId w:val="25"/>
  </w:num>
  <w:num w:numId="37">
    <w:abstractNumId w:val="26"/>
  </w:num>
  <w:num w:numId="38">
    <w:abstractNumId w:val="35"/>
  </w:num>
  <w:num w:numId="39">
    <w:abstractNumId w:val="31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0B69-BFFC-4E42-BDFD-54771DA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aliases w:val="Заголовок пункта (1.1),h2,h21,5,Reset numbering,22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H41,Sub-Minor,Level 2 - a"/>
    <w:basedOn w:val="a"/>
    <w:link w:val="40"/>
    <w:qFormat/>
    <w:pPr>
      <w:numPr>
        <w:ilvl w:val="3"/>
        <w:numId w:val="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next w:val="a"/>
    <w:link w:val="5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Legal Level 1."/>
    <w:basedOn w:val="a"/>
    <w:next w:val="a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Appendix Header,Legal Level 1.1."/>
    <w:basedOn w:val="a"/>
    <w:next w:val="a"/>
    <w:link w:val="70"/>
    <w:qFormat/>
    <w:pPr>
      <w:numPr>
        <w:ilvl w:val="6"/>
        <w:numId w:val="2"/>
      </w:num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еленый маркер"/>
    <w:basedOn w:val="a0"/>
    <w:uiPriority w:val="1"/>
    <w:qFormat/>
    <w:rPr>
      <w:rFonts w:cs="Times New Roman"/>
      <w:color w:val="00B050"/>
      <w:szCs w:val="24"/>
    </w:rPr>
  </w:style>
  <w:style w:type="character" w:customStyle="1" w:styleId="a4">
    <w:name w:val="Красный маркер"/>
    <w:basedOn w:val="a0"/>
    <w:uiPriority w:val="1"/>
    <w:qFormat/>
    <w:rPr>
      <w:rFonts w:ascii="Times New Roman" w:hAnsi="Times New Roman" w:cs="Times New Roman"/>
      <w:strike/>
      <w:dstrike w:val="0"/>
      <w:color w:val="FF0000"/>
      <w:szCs w:val="24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Legal Level 1.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Pr>
      <w:rFonts w:ascii="Arial" w:eastAsia="Times New Roman" w:hAnsi="Arial" w:cs="Times New Roman"/>
      <w:i/>
      <w:sz w:val="18"/>
      <w:szCs w:val="20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nhideWhenUsed/>
    <w:rPr>
      <w:sz w:val="16"/>
      <w:szCs w:val="16"/>
    </w:rPr>
  </w:style>
  <w:style w:type="paragraph" w:styleId="a9">
    <w:name w:val="annotation text"/>
    <w:basedOn w:val="a"/>
    <w:link w:val="aa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SHeadL9">
    <w:name w:val="CMS Head L9"/>
    <w:basedOn w:val="a"/>
    <w:uiPriority w:val="99"/>
    <w:pPr>
      <w:numPr>
        <w:ilvl w:val="8"/>
        <w:numId w:val="1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uiPriority w:val="99"/>
    <w:pPr>
      <w:pageBreakBefore/>
      <w:numPr>
        <w:numId w:val="1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uiPriority w:val="99"/>
    <w:pPr>
      <w:keepNext/>
      <w:keepLines/>
      <w:numPr>
        <w:ilvl w:val="1"/>
        <w:numId w:val="13"/>
      </w:numPr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uiPriority w:val="99"/>
    <w:pPr>
      <w:numPr>
        <w:ilvl w:val="2"/>
        <w:numId w:val="1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uiPriority w:val="99"/>
    <w:pPr>
      <w:numPr>
        <w:ilvl w:val="3"/>
        <w:numId w:val="1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uiPriority w:val="99"/>
    <w:pPr>
      <w:numPr>
        <w:ilvl w:val="4"/>
        <w:numId w:val="1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uiPriority w:val="99"/>
    <w:pPr>
      <w:numPr>
        <w:ilvl w:val="5"/>
        <w:numId w:val="1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uiPriority w:val="99"/>
    <w:pPr>
      <w:numPr>
        <w:ilvl w:val="6"/>
        <w:numId w:val="13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uiPriority w:val="99"/>
    <w:pPr>
      <w:numPr>
        <w:ilvl w:val="7"/>
        <w:numId w:val="1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f">
    <w:name w:val="header"/>
    <w:basedOn w:val="a"/>
    <w:link w:val="af0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page number"/>
    <w:basedOn w:val="a0"/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"/>
    <w:link w:val="22"/>
    <w:pPr>
      <w:spacing w:before="240" w:after="240"/>
      <w:jc w:val="both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customStyle="1" w:styleId="11">
    <w:name w:val="Абзац списка1"/>
    <w:basedOn w:val="a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fr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cfr-f\&#1044;&#1041;&#1059;\&#1054;&#1073;&#1097;&#1072;&#1103;\&#1069;&#1044;&#1054;%20&#1089;%202018%20&#1075;&#1086;&#1076;&#1072;\&#1057;&#1086;&#1075;&#1083;&#1072;&#1096;&#1077;&#1085;&#1080;&#1103;%20&#1087;&#1086;%20&#1069;&#1044;&#1054;%20&#1093;&#1086;&#1079;&#1103;&#1081;&#1089;&#1090;&#1074;&#1077;&#1085;&#1085;&#1099;&#1077;%20&#1091;&#1095;&#1072;&#1089;&#1090;&#1085;&#1080;&#1082;&#1080;\&#1064;&#1072;&#1073;&#1083;&#1086;&#1085;%20&#1090;&#1080;&#1087;&#1086;&#1074;&#1086;&#1075;&#1086;%20&#1089;&#1086;&#1075;&#1083;&#1072;&#1096;&#1077;&#1085;&#1080;&#1103;%20&#1086;&#1073;%20&#1069;&#1044;&#1054;\&#1055;&#1088;&#1086;&#1077;&#1082;&#1090;%20&#1057;&#1086;&#1075;&#1083;&#1072;&#1096;&#1077;&#1085;&#1080;&#1103;%20&#1086;&#1073;%20&#1069;&#1044;&#1054;%20&#1087;&#1086;%20&#1093;&#1086;&#1079;&#1103;&#1081;&#1089;&#1090;&#1074;&#1077;&#1085;&#1085;&#1099;&#1084;%20&#1091;&#1095;&#1072;&#1089;&#1090;&#1085;&#1080;&#1082;&#1072;&#1084;%20&#1080;&#1102;&#1085;&#1100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349C-52DF-456D-8ABE-18C5A5B0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Соглашения об ЭДО по хозяйственным участникам июнь 2022</Template>
  <TotalTime>1</TotalTime>
  <Pages>1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Плужникова Инна Алексеевна</dc:creator>
  <cp:lastModifiedBy>Плужникова Инна Алексеевна</cp:lastModifiedBy>
  <cp:revision>4</cp:revision>
  <cp:lastPrinted>2016-02-03T08:54:00Z</cp:lastPrinted>
  <dcterms:created xsi:type="dcterms:W3CDTF">2023-03-31T12:53:00Z</dcterms:created>
  <dcterms:modified xsi:type="dcterms:W3CDTF">2023-03-31T13:04:00Z</dcterms:modified>
</cp:coreProperties>
</file>