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21 февраля 2022 г. N 224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ТРЕБОВАНИЙ</w:t>
      </w:r>
    </w:p>
    <w:p>
      <w:pPr>
        <w:pStyle w:val="ConsPlusTitle"/>
        <w:jc w:val="center"/>
      </w:pPr>
      <w:r>
        <w:t>К СОГЛАШЕНИЯМ И НОРМАТИВНЫМ ПРАВОВЫМ АКТАМ ФЕДЕРАЛЬНЫХ</w:t>
      </w:r>
    </w:p>
    <w:p>
      <w:pPr>
        <w:pStyle w:val="ConsPlusTitle"/>
        <w:jc w:val="center"/>
      </w:pPr>
      <w:r>
        <w:t>ОРГАНОВ ИСПОЛНИТЕЛЬНОЙ ВЛАСТИ, УСТАНАВЛИВАЮЩИМ ПОРЯДОК</w:t>
      </w:r>
    </w:p>
    <w:p>
      <w:pPr>
        <w:pStyle w:val="ConsPlusTitle"/>
        <w:jc w:val="center"/>
      </w:pPr>
      <w:r>
        <w:t>ПРЕДСТАВЛЕНИЯ ДОВЕРЕННОСТИ В ПРЕДУСМОТРЕННЫХ ПУНКТОМ 2 ЧАСТИ</w:t>
      </w:r>
    </w:p>
    <w:p>
      <w:pPr>
        <w:pStyle w:val="ConsPlusTitle"/>
        <w:jc w:val="center"/>
      </w:pPr>
      <w:r>
        <w:t>1 И ПУНКТОМ 2 ЧАСТИ 3 СТАТЬИ 17.2 ФЕДЕРАЛЬНОГО ЗАКОНА</w:t>
      </w:r>
    </w:p>
    <w:p>
      <w:pPr>
        <w:pStyle w:val="ConsPlusTitle"/>
        <w:jc w:val="center"/>
      </w:pPr>
      <w:r>
        <w:t>"ОБ ЭЛЕКТРОННОЙ ПОДПИСИ" СЛУЧАЯХ, И ТРЕБОВАНИЙ К ПОРЯДКУ</w:t>
      </w:r>
    </w:p>
    <w:p>
      <w:pPr>
        <w:pStyle w:val="ConsPlusTitle"/>
        <w:jc w:val="center"/>
      </w:pPr>
      <w:r>
        <w:t>ПРЕДСТАВЛЕНИЯ ДОВЕРЕННОСТИ В ПРЕДУСМОТРЕННОМ ПУНКТОМ 2</w:t>
      </w:r>
    </w:p>
    <w:p>
      <w:pPr>
        <w:pStyle w:val="ConsPlusTitle"/>
        <w:jc w:val="center"/>
      </w:pPr>
      <w:r>
        <w:t>СТАТЬИ 17.3 ФЕДЕРАЛЬНОГО ЗАКОНА "ОБ ЭЛЕКТРОННОЙ</w:t>
      </w:r>
    </w:p>
    <w:p>
      <w:pPr>
        <w:pStyle w:val="ConsPlusTitle"/>
        <w:jc w:val="center"/>
      </w:pPr>
      <w:r>
        <w:t>ПОДПИСИ" СЛУЧАЕ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12.09.2023 </w:t>
            </w:r>
            <w:hyperlink r:id="rId5">
              <w:r>
                <w:rPr>
                  <w:color w:val="0000FF"/>
                </w:rPr>
                <w:t>N 1481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6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Преамбула исключена. 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РФ от 12.09.2023 N 1481.</w:t>
      </w:r>
    </w:p>
    <w:p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>
      <w:pPr>
        <w:pStyle w:val="ConsPlusNormal"/>
        <w:spacing w:before="220"/>
        <w:ind w:firstLine="540"/>
        <w:jc w:val="both"/>
      </w:pPr>
      <w:hyperlink w:anchor="P39">
        <w:r>
          <w:rPr>
            <w:color w:val="0000FF"/>
          </w:rPr>
          <w:t>требования</w:t>
        </w:r>
      </w:hyperlink>
      <w:r>
        <w:t xml:space="preserve"> к соглашениям и нормативным правовым актам федеральных органов исполнительной власти, устанавливающим порядок представления доверенности в предусмотренных пунктом 2 части 1 и пунктом 2 части 3 статьи 17.2 Федерального закона "Об электронной подписи" случаях;</w:t>
      </w:r>
    </w:p>
    <w:p>
      <w:pPr>
        <w:pStyle w:val="ConsPlusNormal"/>
        <w:spacing w:before="220"/>
        <w:ind w:firstLine="540"/>
        <w:jc w:val="both"/>
      </w:pPr>
      <w:hyperlink w:anchor="P101">
        <w:r>
          <w:rPr>
            <w:color w:val="0000FF"/>
          </w:rPr>
          <w:t>требования</w:t>
        </w:r>
      </w:hyperlink>
      <w:r>
        <w:t xml:space="preserve"> к порядку представления доверенности в предусмотренном пунктом 2 статьи 17.3 Федерального закона "Об электронной подписи" случае.</w:t>
      </w:r>
    </w:p>
    <w:p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2022 г. и действует до 1 марта 2028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М.МИШУСТИН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февраля 2022 г. N 224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9"/>
      <w:bookmarkEnd w:id="0"/>
      <w:r>
        <w:t>ТРЕБОВАНИЯ</w:t>
      </w:r>
    </w:p>
    <w:p>
      <w:pPr>
        <w:pStyle w:val="ConsPlusTitle"/>
        <w:jc w:val="center"/>
      </w:pPr>
      <w:r>
        <w:t>К СОГЛАШЕНИЯМ И НОРМАТИВНЫМ ПРАВОВЫМ АКТАМ ФЕДЕРАЛЬНЫХ</w:t>
      </w:r>
    </w:p>
    <w:p>
      <w:pPr>
        <w:pStyle w:val="ConsPlusTitle"/>
        <w:jc w:val="center"/>
      </w:pPr>
      <w:r>
        <w:t>ОРГАНОВ ИСПОЛНИТЕЛЬНОЙ ВЛАСТИ, УСТАНАВЛИВАЮЩИМ ПОРЯДОК</w:t>
      </w:r>
    </w:p>
    <w:p>
      <w:pPr>
        <w:pStyle w:val="ConsPlusTitle"/>
        <w:jc w:val="center"/>
      </w:pPr>
      <w:r>
        <w:t>ПРЕДСТАВЛЕНИЯ ДОВЕРЕННОСТИ В ПРЕДУСМОТРЕННЫХ ПУНКТОМ 2 ЧАСТИ</w:t>
      </w:r>
    </w:p>
    <w:p>
      <w:pPr>
        <w:pStyle w:val="ConsPlusTitle"/>
        <w:jc w:val="center"/>
      </w:pPr>
      <w:r>
        <w:lastRenderedPageBreak/>
        <w:t>1 И ПУНКТОМ 2 ЧАСТИ 3 СТАТЬИ 17.2 ФЕДЕРАЛЬНОГО ЗАКОНА</w:t>
      </w:r>
    </w:p>
    <w:p>
      <w:pPr>
        <w:pStyle w:val="ConsPlusTitle"/>
        <w:jc w:val="center"/>
      </w:pPr>
      <w:r>
        <w:t>"ОБ ЭЛЕКТРОННОЙ ПОДПИСИ" СЛУЧАЯХ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12.09.2023 </w:t>
            </w:r>
            <w:hyperlink r:id="rId9">
              <w:r>
                <w:rPr>
                  <w:color w:val="0000FF"/>
                </w:rPr>
                <w:t>N 1481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10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1. Настоящий документ устанавливает требования к соглашениям и нормативным правовым актам федеральных органов исполнительной власти, устанавливающим порядок представления доверенности в предусмотренных </w:t>
      </w:r>
      <w:hyperlink r:id="rId11">
        <w:r>
          <w:rPr>
            <w:color w:val="0000FF"/>
          </w:rPr>
          <w:t>пунктом 2 части 1</w:t>
        </w:r>
      </w:hyperlink>
      <w:r>
        <w:t xml:space="preserve"> и </w:t>
      </w:r>
      <w:hyperlink r:id="rId12">
        <w:r>
          <w:rPr>
            <w:color w:val="0000FF"/>
          </w:rPr>
          <w:t>пунктом 2 части 3 статьи 17.2</w:t>
        </w:r>
      </w:hyperlink>
      <w:r>
        <w:t xml:space="preserve"> Федерального закона "Об электронной подписи" случаях.</w:t>
      </w:r>
    </w:p>
    <w:p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 xml:space="preserve">2. Соглашения и нормативные правовые акты федеральных органов исполнительной власти, устанавливающие порядок представления доверенности в электронной форме в машиночитаемом виде (далее - доверенность), подтверждающей полномочия лица, действующего от имени юридического лица и не являющегося уполномоченным на действия от имени такого юридического лица без доверенности (далее - представитель), в установленных </w:t>
      </w:r>
      <w:hyperlink r:id="rId14">
        <w:r>
          <w:rPr>
            <w:color w:val="0000FF"/>
          </w:rPr>
          <w:t>пунктом 2 части 1</w:t>
        </w:r>
      </w:hyperlink>
      <w:r>
        <w:t xml:space="preserve"> и </w:t>
      </w:r>
      <w:hyperlink r:id="rId15">
        <w:r>
          <w:rPr>
            <w:color w:val="0000FF"/>
          </w:rPr>
          <w:t>пунктом 2 части 3 статьи 17.2</w:t>
        </w:r>
      </w:hyperlink>
      <w:r>
        <w:t xml:space="preserve"> Федерального закона "Об электронной подписи" случаях должны содержать в том числе указанные в </w:t>
      </w:r>
      <w:hyperlink w:anchor="P53">
        <w:r>
          <w:rPr>
            <w:color w:val="0000FF"/>
          </w:rPr>
          <w:t>пунктах 3</w:t>
        </w:r>
      </w:hyperlink>
      <w:r>
        <w:t xml:space="preserve"> - </w:t>
      </w:r>
      <w:hyperlink w:anchor="P68">
        <w:r>
          <w:rPr>
            <w:color w:val="0000FF"/>
          </w:rPr>
          <w:t>5</w:t>
        </w:r>
      </w:hyperlink>
      <w:r>
        <w:t xml:space="preserve"> настоящего документа положения.</w:t>
      </w:r>
    </w:p>
    <w:p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" w:name="P53"/>
      <w:bookmarkEnd w:id="1"/>
      <w:r>
        <w:t>3. Представление доверенности способом, не предусматривающим его включение в пакет электронных документов, осуществляется:</w:t>
      </w:r>
    </w:p>
    <w:p>
      <w:pPr>
        <w:pStyle w:val="ConsPlusNormal"/>
        <w:spacing w:before="220"/>
        <w:ind w:firstLine="540"/>
        <w:jc w:val="both"/>
      </w:pPr>
      <w:r>
        <w:t xml:space="preserve">а) при взаимодействии юридического лица с иными лицами, кроме указанных в </w:t>
      </w:r>
      <w:hyperlink w:anchor="P56">
        <w:r>
          <w:rPr>
            <w:color w:val="0000FF"/>
          </w:rPr>
          <w:t>подпункте "б"</w:t>
        </w:r>
      </w:hyperlink>
      <w:r>
        <w:t xml:space="preserve"> настоящего пункта, - из информационной системы, предусмотренной </w:t>
      </w:r>
      <w:hyperlink w:anchor="P62">
        <w:r>
          <w:rPr>
            <w:color w:val="0000FF"/>
          </w:rPr>
          <w:t>подпунктами "б"</w:t>
        </w:r>
      </w:hyperlink>
      <w:r>
        <w:t xml:space="preserve"> - </w:t>
      </w:r>
      <w:hyperlink w:anchor="P66">
        <w:r>
          <w:rPr>
            <w:color w:val="0000FF"/>
          </w:rPr>
          <w:t>"е" пункта 4</w:t>
        </w:r>
      </w:hyperlink>
      <w:r>
        <w:t xml:space="preserve"> настоящего документа, при условии взаимодействия таких лиц в электронной форме на основании заключенного между ними соглашения, которым предусмотрена однократная передача доверенности в информационную систему, предусмотренную </w:t>
      </w:r>
      <w:hyperlink w:anchor="P62">
        <w:r>
          <w:rPr>
            <w:color w:val="0000FF"/>
          </w:rPr>
          <w:t>подпунктами "б"</w:t>
        </w:r>
      </w:hyperlink>
      <w:r>
        <w:t xml:space="preserve"> - </w:t>
      </w:r>
      <w:hyperlink w:anchor="P66">
        <w:r>
          <w:rPr>
            <w:color w:val="0000FF"/>
          </w:rPr>
          <w:t>"е" пункта 4</w:t>
        </w:r>
      </w:hyperlink>
      <w:r>
        <w:t xml:space="preserve"> настоящего документа;</w:t>
      </w:r>
    </w:p>
    <w:p>
      <w:pPr>
        <w:pStyle w:val="ConsPlusNormal"/>
        <w:jc w:val="both"/>
      </w:pPr>
      <w:r>
        <w:t xml:space="preserve">(пп. "а"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б) при взаимодействии юридического лица с государственными органами или органами местного самоуправления - из информационной системы, указанной в </w:t>
      </w:r>
      <w:hyperlink w:anchor="P60">
        <w:r>
          <w:rPr>
            <w:color w:val="0000FF"/>
          </w:rPr>
          <w:t>подпунктах "а"</w:t>
        </w:r>
      </w:hyperlink>
      <w:r>
        <w:t xml:space="preserve"> или </w:t>
      </w:r>
      <w:hyperlink w:anchor="P66">
        <w:r>
          <w:rPr>
            <w:color w:val="0000FF"/>
          </w:rPr>
          <w:t>"е" пункта 4</w:t>
        </w:r>
      </w:hyperlink>
      <w:r>
        <w:t xml:space="preserve"> настоящего документа.</w:t>
      </w:r>
    </w:p>
    <w:p>
      <w:pPr>
        <w:pStyle w:val="ConsPlusNormal"/>
        <w:spacing w:before="220"/>
        <w:ind w:firstLine="540"/>
        <w:jc w:val="both"/>
      </w:pPr>
      <w:r>
        <w:t xml:space="preserve">3(1). Положения </w:t>
      </w:r>
      <w:hyperlink w:anchor="P53">
        <w:r>
          <w:rPr>
            <w:color w:val="0000FF"/>
          </w:rPr>
          <w:t>пункта 3</w:t>
        </w:r>
      </w:hyperlink>
      <w:r>
        <w:t xml:space="preserve">, </w:t>
      </w:r>
      <w:hyperlink w:anchor="P70">
        <w:r>
          <w:rPr>
            <w:color w:val="0000FF"/>
          </w:rPr>
          <w:t>подпункта "б" пункта 5</w:t>
        </w:r>
      </w:hyperlink>
      <w:r>
        <w:t xml:space="preserve"> настоящего документа могут не применяться в случае, если нормативным актом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установлен иной </w:t>
      </w:r>
      <w:hyperlink r:id="rId18">
        <w:r>
          <w:rPr>
            <w:color w:val="0000FF"/>
          </w:rPr>
          <w:t>порядок</w:t>
        </w:r>
      </w:hyperlink>
      <w:r>
        <w:t xml:space="preserve"> представления доверенности из информационных систем, оператором которых является такой орган.</w:t>
      </w:r>
    </w:p>
    <w:p>
      <w:pPr>
        <w:pStyle w:val="ConsPlusNormal"/>
        <w:jc w:val="both"/>
      </w:pPr>
      <w:r>
        <w:t xml:space="preserve">(п. 3(1)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3" w:name="P59"/>
      <w:bookmarkEnd w:id="3"/>
      <w:r>
        <w:t>4. Представление доверенности обеспечивается одним из следующих способов:</w:t>
      </w:r>
    </w:p>
    <w:p>
      <w:pPr>
        <w:pStyle w:val="ConsPlusNormal"/>
        <w:spacing w:before="220"/>
        <w:ind w:firstLine="540"/>
        <w:jc w:val="both"/>
      </w:pPr>
      <w:bookmarkStart w:id="4" w:name="P60"/>
      <w:bookmarkEnd w:id="4"/>
      <w:r>
        <w:t>а) из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>
      <w:pPr>
        <w:pStyle w:val="ConsPlusNormal"/>
        <w:jc w:val="both"/>
      </w:pPr>
      <w:r>
        <w:t xml:space="preserve">(пп. "а"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5" w:name="P62"/>
      <w:bookmarkEnd w:id="5"/>
      <w:r>
        <w:lastRenderedPageBreak/>
        <w:t>б) из информационной системы аккредитованного удостоверяющего центра;</w:t>
      </w:r>
    </w:p>
    <w:p>
      <w:pPr>
        <w:pStyle w:val="ConsPlusNormal"/>
        <w:spacing w:before="220"/>
        <w:ind w:firstLine="540"/>
        <w:jc w:val="both"/>
      </w:pPr>
      <w:r>
        <w:t xml:space="preserve">в) из </w:t>
      </w:r>
      <w:proofErr w:type="gramStart"/>
      <w:r>
        <w:t>информационной системы</w:t>
      </w:r>
      <w:proofErr w:type="gramEnd"/>
      <w:r>
        <w:t xml:space="preserve"> аккредитованной доверенной третьей стороны;</w:t>
      </w:r>
    </w:p>
    <w:p>
      <w:pPr>
        <w:pStyle w:val="ConsPlusNormal"/>
        <w:spacing w:before="220"/>
        <w:ind w:firstLine="540"/>
        <w:jc w:val="both"/>
      </w:pPr>
      <w:r>
        <w:t>г) из информационной системы оператора электронного документооборота, требования к которому устанавливаются федеральным органом исполнительной власти, уполномоченным осуществлять функции по контролю и надзору в сфере налогов и сборов;</w:t>
      </w:r>
    </w:p>
    <w:p>
      <w:pPr>
        <w:pStyle w:val="ConsPlusNormal"/>
        <w:spacing w:before="220"/>
        <w:ind w:firstLine="540"/>
        <w:jc w:val="both"/>
      </w:pPr>
      <w:r>
        <w:t>д) из информационной системы, в которой подписан и из которой направляется электронный документ, подписанный усиленной квалифицированной электронной подписью представителя на основании такой доверенности;</w:t>
      </w:r>
    </w:p>
    <w:p>
      <w:pPr>
        <w:pStyle w:val="ConsPlusNormal"/>
        <w:spacing w:before="220"/>
        <w:ind w:firstLine="540"/>
        <w:jc w:val="both"/>
      </w:pPr>
      <w:bookmarkStart w:id="6" w:name="P66"/>
      <w:bookmarkEnd w:id="6"/>
      <w:r>
        <w:t>е) из информационной системы федерального органа исполнительной власти или органа государственного внебюджетного фонда Российской Федерации, государственной информационной системы города Москвы, определенной нормативным правовым актом высшего исполнительного органа города федерального значения Москвы.</w:t>
      </w:r>
    </w:p>
    <w:p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11.09.2024 N 1232)</w:t>
      </w:r>
    </w:p>
    <w:p>
      <w:pPr>
        <w:pStyle w:val="ConsPlusNormal"/>
        <w:spacing w:before="220"/>
        <w:ind w:firstLine="540"/>
        <w:jc w:val="both"/>
      </w:pPr>
      <w:bookmarkStart w:id="7" w:name="P68"/>
      <w:bookmarkEnd w:id="7"/>
      <w:r>
        <w:t>5. Представление доверенности должно соответствовать следующим требованиям:</w:t>
      </w:r>
    </w:p>
    <w:p>
      <w:pPr>
        <w:pStyle w:val="ConsPlusNormal"/>
        <w:spacing w:before="220"/>
        <w:ind w:firstLine="540"/>
        <w:jc w:val="both"/>
      </w:pPr>
      <w:r>
        <w:t xml:space="preserve">а) операторами информационных систем, указанных в </w:t>
      </w:r>
      <w:hyperlink w:anchor="P59">
        <w:r>
          <w:rPr>
            <w:color w:val="0000FF"/>
          </w:rPr>
          <w:t>пункте 4</w:t>
        </w:r>
      </w:hyperlink>
      <w:r>
        <w:t xml:space="preserve"> настоящего документа, обеспечивается надежность и безопасность реализации указанной процедуры в соответствии с положениями </w:t>
      </w:r>
      <w:hyperlink r:id="rId22">
        <w:r>
          <w:rPr>
            <w:color w:val="0000FF"/>
          </w:rPr>
          <w:t>статьи 19</w:t>
        </w:r>
      </w:hyperlink>
      <w:r>
        <w:t xml:space="preserve"> Федерального закона "О персональных данных";</w:t>
      </w:r>
    </w:p>
    <w:p>
      <w:pPr>
        <w:pStyle w:val="ConsPlusNormal"/>
        <w:spacing w:before="220"/>
        <w:ind w:firstLine="540"/>
        <w:jc w:val="both"/>
      </w:pPr>
      <w:bookmarkStart w:id="8" w:name="P70"/>
      <w:bookmarkEnd w:id="8"/>
      <w:r>
        <w:t>б) информация о номере и дате совершения соответствующей доверенности и идентифицирующая информация об информационной системе, в которой осуществляется хранение доверенности, необходимая для запроса информации из такой информационной системы, представляется заинтересованным лицам в электронном документе, подписанном усиленной квалифицированной электронной подписью представителя на основании такой доверенности, либо представляется заинтересованным лицам иным образом представителем вместе с подписанным электронным документом.</w:t>
      </w:r>
    </w:p>
    <w:p>
      <w:pPr>
        <w:pStyle w:val="ConsPlusNormal"/>
        <w:spacing w:before="220"/>
        <w:ind w:firstLine="540"/>
        <w:jc w:val="both"/>
      </w:pPr>
      <w:bookmarkStart w:id="9" w:name="P71"/>
      <w:bookmarkEnd w:id="9"/>
      <w:r>
        <w:t xml:space="preserve">6. В целях представления доверенности способами, указанными в </w:t>
      </w:r>
      <w:hyperlink w:anchor="P62">
        <w:r>
          <w:rPr>
            <w:color w:val="0000FF"/>
          </w:rPr>
          <w:t>подпунктах "б"</w:t>
        </w:r>
      </w:hyperlink>
      <w:r>
        <w:t xml:space="preserve"> - </w:t>
      </w:r>
      <w:hyperlink w:anchor="P66">
        <w:r>
          <w:rPr>
            <w:color w:val="0000FF"/>
          </w:rPr>
          <w:t>"е" пункта 4</w:t>
        </w:r>
      </w:hyperlink>
      <w:r>
        <w:t xml:space="preserve"> настоящего документа, оператор соответствующей информационной системы незамедлительно после принятия такой доверенности на хранение обязан передать в единую систему идентификации и аутентификации следующие сведения о доверенности:</w:t>
      </w:r>
    </w:p>
    <w:p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а) дата совершения доверенности;</w:t>
      </w:r>
    </w:p>
    <w:p>
      <w:pPr>
        <w:pStyle w:val="ConsPlusNormal"/>
        <w:spacing w:before="220"/>
        <w:ind w:firstLine="540"/>
        <w:jc w:val="both"/>
      </w:pPr>
      <w:r>
        <w:t>б) единый регистрационный номер доверенности (GUID);</w:t>
      </w:r>
    </w:p>
    <w:p>
      <w:pPr>
        <w:pStyle w:val="ConsPlusNormal"/>
        <w:jc w:val="both"/>
      </w:pPr>
      <w:r>
        <w:t xml:space="preserve">(пп. "б"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в) сведения о доверителе;</w:t>
      </w:r>
    </w:p>
    <w:p>
      <w:pPr>
        <w:pStyle w:val="ConsPlusNormal"/>
        <w:spacing w:before="220"/>
        <w:ind w:firstLine="540"/>
        <w:jc w:val="both"/>
      </w:pPr>
      <w:r>
        <w:t>г) сведения о представителе;</w:t>
      </w:r>
    </w:p>
    <w:p>
      <w:pPr>
        <w:pStyle w:val="ConsPlusNormal"/>
        <w:spacing w:before="220"/>
        <w:ind w:firstLine="540"/>
        <w:jc w:val="both"/>
      </w:pPr>
      <w:r>
        <w:t xml:space="preserve">д) идентифицирующая информация о зарегистрированной в единой системе идентификации и аутентификации системе из числа информационных систем, указанных в </w:t>
      </w:r>
      <w:hyperlink w:anchor="P62">
        <w:r>
          <w:rPr>
            <w:color w:val="0000FF"/>
          </w:rPr>
          <w:t>подпунктах "б"</w:t>
        </w:r>
      </w:hyperlink>
      <w:r>
        <w:t xml:space="preserve"> - </w:t>
      </w:r>
      <w:hyperlink w:anchor="P66">
        <w:r>
          <w:rPr>
            <w:color w:val="0000FF"/>
          </w:rPr>
          <w:t>"е" пункта 4</w:t>
        </w:r>
      </w:hyperlink>
      <w:r>
        <w:t xml:space="preserve"> настоящего документа, в которой осуществляется хранение доверенности, необходимая для запроса информации из такой информационной системы;</w:t>
      </w:r>
    </w:p>
    <w:p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е) внутренний номер доверенности;</w:t>
      </w:r>
    </w:p>
    <w:p>
      <w:pPr>
        <w:pStyle w:val="ConsPlusNormal"/>
        <w:jc w:val="both"/>
      </w:pPr>
      <w:r>
        <w:t xml:space="preserve">(пп. "е"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lastRenderedPageBreak/>
        <w:t>ж) срок действия доверенности.</w:t>
      </w:r>
    </w:p>
    <w:p>
      <w:pPr>
        <w:pStyle w:val="ConsPlusNormal"/>
        <w:jc w:val="both"/>
      </w:pPr>
      <w:r>
        <w:t xml:space="preserve">(пп. "ж"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0" w:name="P84"/>
      <w:bookmarkEnd w:id="10"/>
      <w:r>
        <w:t xml:space="preserve">7. Сведения, указанные в </w:t>
      </w:r>
      <w:hyperlink w:anchor="P71">
        <w:r>
          <w:rPr>
            <w:color w:val="0000FF"/>
          </w:rPr>
          <w:t>пункте 6</w:t>
        </w:r>
      </w:hyperlink>
      <w:r>
        <w:t xml:space="preserve"> настоящего документа, передаются в единую систему идентификации и аутентификации в электронном виде, в том числе с использованием единой системы межведомственного электронного взаимодействия и (или) федеральной государственной информационной системы "Единый портал государственных и муниципальных услуг (функций)" (далее - Единый портал), интегрированной с единой системой идентификации и аутентификации.</w:t>
      </w:r>
    </w:p>
    <w:p>
      <w:pPr>
        <w:pStyle w:val="ConsPlusNormal"/>
        <w:spacing w:before="220"/>
        <w:ind w:firstLine="540"/>
        <w:jc w:val="both"/>
      </w:pPr>
      <w:r>
        <w:t>Срок хранения в единой системе идентификации и аутентификации сведений, указанных в настоящем пункте, определяется оператором единой системы идентификации и аутентификации и не может составлять менее 5 лет со дня окончания срока действия доверенности или срока отмены доверенности.</w:t>
      </w:r>
    </w:p>
    <w:p>
      <w:pPr>
        <w:pStyle w:val="ConsPlusNormal"/>
        <w:spacing w:before="220"/>
        <w:ind w:firstLine="540"/>
        <w:jc w:val="both"/>
      </w:pPr>
      <w:r>
        <w:t>Оператор единой системы идентификации и аутентификации обеспечивает предоставление сведений, указанных в настоящем пункте, посредством Единого портала, а также посредством их направления в информационные системы, присоединенные в установленном Правительством Российской Федерации порядке к единой системе идентификации и аутентификации, лиц, использующих заявление, по их запросу, в том числе с использованием единой системы межведомственного электронного взаимодействия.</w:t>
      </w:r>
    </w:p>
    <w:p>
      <w:pPr>
        <w:pStyle w:val="ConsPlusNormal"/>
        <w:spacing w:before="220"/>
        <w:ind w:firstLine="540"/>
        <w:jc w:val="both"/>
      </w:pPr>
      <w:r>
        <w:t xml:space="preserve">Предоставление сведений в соответствии с </w:t>
      </w:r>
      <w:hyperlink w:anchor="P71">
        <w:r>
          <w:rPr>
            <w:color w:val="0000FF"/>
          </w:rPr>
          <w:t>пунктом 6</w:t>
        </w:r>
      </w:hyperlink>
      <w:r>
        <w:t xml:space="preserve"> настоящего документа осуществляется без использования персональных данных.</w:t>
      </w:r>
    </w:p>
    <w:p>
      <w:pPr>
        <w:pStyle w:val="ConsPlusNormal"/>
        <w:jc w:val="both"/>
      </w:pPr>
      <w:r>
        <w:t xml:space="preserve">(п. 7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 xml:space="preserve">8. Положения </w:t>
      </w:r>
      <w:hyperlink w:anchor="P71">
        <w:r>
          <w:rPr>
            <w:color w:val="0000FF"/>
          </w:rPr>
          <w:t>пунктов 6</w:t>
        </w:r>
      </w:hyperlink>
      <w:r>
        <w:t xml:space="preserve"> и </w:t>
      </w:r>
      <w:hyperlink w:anchor="P84">
        <w:r>
          <w:rPr>
            <w:color w:val="0000FF"/>
          </w:rPr>
          <w:t>7</w:t>
        </w:r>
      </w:hyperlink>
      <w:r>
        <w:t xml:space="preserve"> настоящего документа не применяются оператором информационных систем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 в отношении информационных систем, определенных нормативным правовым актом такого органа, за исключением случаев получения доверенности в указанные информационные системы из иных информационных систем.</w:t>
      </w:r>
    </w:p>
    <w:p>
      <w:pPr>
        <w:pStyle w:val="ConsPlusNormal"/>
        <w:jc w:val="both"/>
      </w:pPr>
      <w:r>
        <w:t xml:space="preserve">(п. 8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21 февраля 2022 г. N 224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1" w:name="P101"/>
      <w:bookmarkEnd w:id="11"/>
      <w:r>
        <w:t>ТРЕБОВАНИЯ</w:t>
      </w:r>
    </w:p>
    <w:p>
      <w:pPr>
        <w:pStyle w:val="ConsPlusTitle"/>
        <w:jc w:val="center"/>
      </w:pPr>
      <w:r>
        <w:t>К ПОРЯДКУ ПРЕДСТАВЛЕНИЯ ДОВЕРЕННОСТИ В ПРЕДУСМОТРЕННОМ</w:t>
      </w:r>
    </w:p>
    <w:p>
      <w:pPr>
        <w:pStyle w:val="ConsPlusTitle"/>
        <w:jc w:val="center"/>
      </w:pPr>
      <w:r>
        <w:t>ПУНКТОМ 2 СТАТЬИ 17.3 ФЕДЕРАЛЬНОГО ЗАКОНА "ОБ ЭЛЕКТРОННОЙ</w:t>
      </w:r>
    </w:p>
    <w:p>
      <w:pPr>
        <w:pStyle w:val="ConsPlusTitle"/>
        <w:jc w:val="center"/>
      </w:pPr>
      <w:r>
        <w:t>ПОДПИСИ" СЛУЧАЕ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12.09.2023 </w:t>
            </w:r>
            <w:hyperlink r:id="rId30">
              <w:r>
                <w:rPr>
                  <w:color w:val="0000FF"/>
                </w:rPr>
                <w:t>N 1481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31">
              <w:r>
                <w:rPr>
                  <w:color w:val="0000FF"/>
                </w:rPr>
                <w:t>N 1232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Настоящий документ устанавливает требования к порядку представления доверенности в электронной форме в машиночитаемом виде (далее - доверенность), подтверждающей </w:t>
      </w:r>
      <w:r>
        <w:lastRenderedPageBreak/>
        <w:t xml:space="preserve">полномочия физического лица, иного индивидуального предпринимателя или юридического лица (далее - представитель) действовать от имени индивидуального предпринимателя в соответствии с </w:t>
      </w:r>
      <w:hyperlink r:id="rId32">
        <w:r>
          <w:rPr>
            <w:color w:val="0000FF"/>
          </w:rPr>
          <w:t>пунктом 2 статьи 17.3</w:t>
        </w:r>
      </w:hyperlink>
      <w:r>
        <w:t xml:space="preserve"> Федерального закона "Об электронной подписи" в случае, когда представление доверенности посредством включения в каждый пакет электронных документов, подписываемых представителем, не осуществляется.</w:t>
      </w:r>
    </w:p>
    <w:p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2" w:name="P111"/>
      <w:bookmarkEnd w:id="12"/>
      <w:r>
        <w:t>2. Представление доверенности способом, не предусматривающим его включение в пакет электронных документов, осуществляется:</w:t>
      </w:r>
    </w:p>
    <w:p>
      <w:pPr>
        <w:pStyle w:val="ConsPlusNormal"/>
        <w:spacing w:before="220"/>
        <w:ind w:firstLine="540"/>
        <w:jc w:val="both"/>
      </w:pPr>
      <w:r>
        <w:t xml:space="preserve">а) при взаимодействии индивидуального предпринимателя с иными лицами, кроме указанных в </w:t>
      </w:r>
      <w:hyperlink w:anchor="P114">
        <w:r>
          <w:rPr>
            <w:color w:val="0000FF"/>
          </w:rPr>
          <w:t>подпункте "б"</w:t>
        </w:r>
      </w:hyperlink>
      <w:r>
        <w:t xml:space="preserve"> настоящего пункта, - из информационной системы, предусмотренной в </w:t>
      </w:r>
      <w:hyperlink w:anchor="P120">
        <w:r>
          <w:rPr>
            <w:color w:val="0000FF"/>
          </w:rPr>
          <w:t>подпунктах "б"</w:t>
        </w:r>
      </w:hyperlink>
      <w:r>
        <w:t xml:space="preserve"> - </w:t>
      </w:r>
      <w:hyperlink w:anchor="P124">
        <w:r>
          <w:rPr>
            <w:color w:val="0000FF"/>
          </w:rPr>
          <w:t>"е" пункта 3</w:t>
        </w:r>
      </w:hyperlink>
      <w:r>
        <w:t xml:space="preserve"> настоящего документа, при условии взаимодействия таких лиц в электронной форме на основании заключенного между ними соглашения, которым предусмотрена однократная передача доверенности в информационную систему, предусмотренную </w:t>
      </w:r>
      <w:hyperlink w:anchor="P120">
        <w:r>
          <w:rPr>
            <w:color w:val="0000FF"/>
          </w:rPr>
          <w:t>подпунктами "б"</w:t>
        </w:r>
      </w:hyperlink>
      <w:r>
        <w:t xml:space="preserve"> - </w:t>
      </w:r>
      <w:hyperlink w:anchor="P124">
        <w:r>
          <w:rPr>
            <w:color w:val="0000FF"/>
          </w:rPr>
          <w:t>"е" пункта 3</w:t>
        </w:r>
      </w:hyperlink>
      <w:r>
        <w:t xml:space="preserve"> настоящего документа;</w:t>
      </w:r>
    </w:p>
    <w:p>
      <w:pPr>
        <w:pStyle w:val="ConsPlusNormal"/>
        <w:jc w:val="both"/>
      </w:pPr>
      <w:r>
        <w:t xml:space="preserve">(пп. "а"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3" w:name="P114"/>
      <w:bookmarkEnd w:id="13"/>
      <w:r>
        <w:t xml:space="preserve">б) при взаимодействии индивидуального предпринимателя с государственными органами или органами местного самоуправления - из информационной системы, указанной в </w:t>
      </w:r>
      <w:hyperlink w:anchor="P118">
        <w:r>
          <w:rPr>
            <w:color w:val="0000FF"/>
          </w:rPr>
          <w:t>подпунктах "а"</w:t>
        </w:r>
      </w:hyperlink>
      <w:r>
        <w:t xml:space="preserve"> или </w:t>
      </w:r>
      <w:hyperlink w:anchor="P124">
        <w:r>
          <w:rPr>
            <w:color w:val="0000FF"/>
          </w:rPr>
          <w:t>"е" пункта 3</w:t>
        </w:r>
      </w:hyperlink>
      <w:r>
        <w:t xml:space="preserve"> настоящего документа.</w:t>
      </w:r>
    </w:p>
    <w:p>
      <w:pPr>
        <w:pStyle w:val="ConsPlusNormal"/>
        <w:spacing w:before="220"/>
        <w:ind w:firstLine="540"/>
        <w:jc w:val="both"/>
      </w:pPr>
      <w:r>
        <w:t xml:space="preserve">2(1). Положения </w:t>
      </w:r>
      <w:hyperlink w:anchor="P111">
        <w:r>
          <w:rPr>
            <w:color w:val="0000FF"/>
          </w:rPr>
          <w:t>пункта 2</w:t>
        </w:r>
      </w:hyperlink>
      <w:r>
        <w:t xml:space="preserve">, </w:t>
      </w:r>
      <w:hyperlink w:anchor="P128">
        <w:r>
          <w:rPr>
            <w:color w:val="0000FF"/>
          </w:rPr>
          <w:t>подпункта "б" пункта 4</w:t>
        </w:r>
      </w:hyperlink>
      <w:r>
        <w:t xml:space="preserve"> настоящего документа могут не применяться, если нормативным актом федерального органа исполнительной власти, уполномоченного на правоприменительные функции по обеспечению федерального бюджета, казначейскому обслуживанию исполнения бюджетов бюджетной системы Российской Федерации, установлен иной </w:t>
      </w:r>
      <w:hyperlink r:id="rId35">
        <w:r>
          <w:rPr>
            <w:color w:val="0000FF"/>
          </w:rPr>
          <w:t>порядок</w:t>
        </w:r>
      </w:hyperlink>
      <w:r>
        <w:t xml:space="preserve"> представления доверенности из информационных систем, оператором которых является такой орган.</w:t>
      </w:r>
    </w:p>
    <w:p>
      <w:pPr>
        <w:pStyle w:val="ConsPlusNormal"/>
        <w:jc w:val="both"/>
      </w:pPr>
      <w:r>
        <w:t xml:space="preserve">(п. 2(1)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>3. Представление доверенности обеспечивается одним из следующих способов:</w:t>
      </w:r>
    </w:p>
    <w:p>
      <w:pPr>
        <w:pStyle w:val="ConsPlusNormal"/>
        <w:spacing w:before="220"/>
        <w:ind w:firstLine="540"/>
        <w:jc w:val="both"/>
      </w:pPr>
      <w:bookmarkStart w:id="15" w:name="P118"/>
      <w:bookmarkEnd w:id="15"/>
      <w:r>
        <w:t>а) из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единая система идентификации и аутентификации);</w:t>
      </w:r>
    </w:p>
    <w:p>
      <w:pPr>
        <w:pStyle w:val="ConsPlusNormal"/>
        <w:jc w:val="both"/>
      </w:pPr>
      <w:r>
        <w:t xml:space="preserve">(пп. "а"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16" w:name="P120"/>
      <w:bookmarkEnd w:id="16"/>
      <w:r>
        <w:t>б) из информационной системы аккредитованного удостоверяющего центра;</w:t>
      </w:r>
    </w:p>
    <w:p>
      <w:pPr>
        <w:pStyle w:val="ConsPlusNormal"/>
        <w:spacing w:before="220"/>
        <w:ind w:firstLine="540"/>
        <w:jc w:val="both"/>
      </w:pPr>
      <w:r>
        <w:t xml:space="preserve">в) из </w:t>
      </w:r>
      <w:proofErr w:type="gramStart"/>
      <w:r>
        <w:t>информационной системы</w:t>
      </w:r>
      <w:proofErr w:type="gramEnd"/>
      <w:r>
        <w:t xml:space="preserve"> аккредитованной доверенной третьей стороны;</w:t>
      </w:r>
    </w:p>
    <w:p>
      <w:pPr>
        <w:pStyle w:val="ConsPlusNormal"/>
        <w:spacing w:before="220"/>
        <w:ind w:firstLine="540"/>
        <w:jc w:val="both"/>
      </w:pPr>
      <w:r>
        <w:t>г) из информационной системы оператора электронного документооборота, требования к которому устанавливаются федеральным органом исполнительной власти, уполномоченным осуществлять функции по контролю и надзору в сфере налогов и сборов;</w:t>
      </w:r>
    </w:p>
    <w:p>
      <w:pPr>
        <w:pStyle w:val="ConsPlusNormal"/>
        <w:spacing w:before="220"/>
        <w:ind w:firstLine="540"/>
        <w:jc w:val="both"/>
      </w:pPr>
      <w:r>
        <w:t>д) из информационной системы, в которой подписан и из которой направляется электронный документ, подписанный усиленной квалифицированной электронной подписью представителя на основании такой доверенности;</w:t>
      </w:r>
    </w:p>
    <w:p>
      <w:pPr>
        <w:pStyle w:val="ConsPlusNormal"/>
        <w:spacing w:before="220"/>
        <w:ind w:firstLine="540"/>
        <w:jc w:val="both"/>
      </w:pPr>
      <w:bookmarkStart w:id="17" w:name="P124"/>
      <w:bookmarkEnd w:id="17"/>
      <w:r>
        <w:t>е) из информационной системы федерального органа исполнительной власти или органа государственного внебюджетного фонда Российской Федерации, государственной информационной системы города Москвы, определенной нормативным правовым актом высшего исполнительного органа города федерального значения Москвы.</w:t>
      </w:r>
    </w:p>
    <w:p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11.09.2024 N 1232)</w:t>
      </w:r>
    </w:p>
    <w:p>
      <w:pPr>
        <w:pStyle w:val="ConsPlusNormal"/>
        <w:spacing w:before="220"/>
        <w:ind w:firstLine="540"/>
        <w:jc w:val="both"/>
      </w:pPr>
      <w:r>
        <w:lastRenderedPageBreak/>
        <w:t>4. Представление доверенности должно соответствовать следующим требованиям:</w:t>
      </w:r>
    </w:p>
    <w:p>
      <w:pPr>
        <w:pStyle w:val="ConsPlusNormal"/>
        <w:spacing w:before="220"/>
        <w:ind w:firstLine="540"/>
        <w:jc w:val="both"/>
      </w:pPr>
      <w:r>
        <w:t xml:space="preserve">а) операторами информационных систем, указанных в </w:t>
      </w:r>
      <w:hyperlink w:anchor="P117">
        <w:r>
          <w:rPr>
            <w:color w:val="0000FF"/>
          </w:rPr>
          <w:t>пункте 3</w:t>
        </w:r>
      </w:hyperlink>
      <w:r>
        <w:t xml:space="preserve"> настоящего документа обеспечивается надежность и безопасность реализации указанной процедуры в соответствии с положениями </w:t>
      </w:r>
      <w:hyperlink r:id="rId39">
        <w:r>
          <w:rPr>
            <w:color w:val="0000FF"/>
          </w:rPr>
          <w:t>статьи 19</w:t>
        </w:r>
      </w:hyperlink>
      <w:r>
        <w:t xml:space="preserve"> Федерального закона "О персональных данных";</w:t>
      </w:r>
    </w:p>
    <w:p>
      <w:pPr>
        <w:pStyle w:val="ConsPlusNormal"/>
        <w:spacing w:before="220"/>
        <w:ind w:firstLine="540"/>
        <w:jc w:val="both"/>
      </w:pPr>
      <w:bookmarkStart w:id="18" w:name="P128"/>
      <w:bookmarkEnd w:id="18"/>
      <w:r>
        <w:t>б) информация о номере и дате совершения соответствующей доверенности и идентифицирующая информация об информационной системе, в которой осуществляется хранение доверенности, необходимая для запроса информации из такой информационной системы, представляется заинтересованным лицам в электронном документе, подписанном усиленной квалифицированной электронной подписью представителя на основании такой доверенности, либо представляется иным образом представителем вместе с подписанным электронным документом.</w:t>
      </w:r>
    </w:p>
    <w:p>
      <w:pPr>
        <w:pStyle w:val="ConsPlusNormal"/>
        <w:spacing w:before="220"/>
        <w:ind w:firstLine="540"/>
        <w:jc w:val="both"/>
      </w:pPr>
      <w:bookmarkStart w:id="19" w:name="P129"/>
      <w:bookmarkEnd w:id="19"/>
      <w:r>
        <w:t xml:space="preserve">5. В целях представления доверенности способами, указанными в </w:t>
      </w:r>
      <w:hyperlink w:anchor="P120">
        <w:r>
          <w:rPr>
            <w:color w:val="0000FF"/>
          </w:rPr>
          <w:t>подпунктах "б"</w:t>
        </w:r>
      </w:hyperlink>
      <w:r>
        <w:t xml:space="preserve"> - </w:t>
      </w:r>
      <w:hyperlink w:anchor="P124">
        <w:r>
          <w:rPr>
            <w:color w:val="0000FF"/>
          </w:rPr>
          <w:t>"е" пункта 3</w:t>
        </w:r>
      </w:hyperlink>
      <w:r>
        <w:t xml:space="preserve"> настоящего документа, оператор соответствующей информационной системы незамедлительно после принятия такой доверенности на хранение обязан передать в единую систему идентификации и аутентификации следующие сведения о доверенности:</w:t>
      </w:r>
    </w:p>
    <w:p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а) дата совершения доверенности;</w:t>
      </w:r>
    </w:p>
    <w:p>
      <w:pPr>
        <w:pStyle w:val="ConsPlusNormal"/>
        <w:spacing w:before="220"/>
        <w:ind w:firstLine="540"/>
        <w:jc w:val="both"/>
      </w:pPr>
      <w:r>
        <w:t>б) единый регистрационный номер доверенности (GUID);</w:t>
      </w:r>
    </w:p>
    <w:p>
      <w:pPr>
        <w:pStyle w:val="ConsPlusNormal"/>
        <w:jc w:val="both"/>
      </w:pPr>
      <w:r>
        <w:t xml:space="preserve">(пп. "б"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в) сведения о доверителе;</w:t>
      </w:r>
    </w:p>
    <w:p>
      <w:pPr>
        <w:pStyle w:val="ConsPlusNormal"/>
        <w:spacing w:before="220"/>
        <w:ind w:firstLine="540"/>
        <w:jc w:val="both"/>
      </w:pPr>
      <w:r>
        <w:t>г) сведения о представителе;</w:t>
      </w:r>
    </w:p>
    <w:p>
      <w:pPr>
        <w:pStyle w:val="ConsPlusNormal"/>
        <w:spacing w:before="220"/>
        <w:ind w:firstLine="540"/>
        <w:jc w:val="both"/>
      </w:pPr>
      <w:r>
        <w:t xml:space="preserve">д) идентифицирующая информация о зарегистрированной в единой системе идентификации и аутентификации системе из числа информационных систем, указанных в </w:t>
      </w:r>
      <w:hyperlink w:anchor="P120">
        <w:r>
          <w:rPr>
            <w:color w:val="0000FF"/>
          </w:rPr>
          <w:t>подпунктах "б"</w:t>
        </w:r>
      </w:hyperlink>
      <w:r>
        <w:t xml:space="preserve"> - </w:t>
      </w:r>
      <w:hyperlink w:anchor="P124">
        <w:r>
          <w:rPr>
            <w:color w:val="0000FF"/>
          </w:rPr>
          <w:t>"е" пункта 3</w:t>
        </w:r>
      </w:hyperlink>
      <w:r>
        <w:t xml:space="preserve"> настоящего документа, в которой осуществляется хранение доверенности, необходимая для запроса информации из такой информационной системы;</w:t>
      </w:r>
    </w:p>
    <w:p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е) внутренний номер доверенности;</w:t>
      </w:r>
    </w:p>
    <w:p>
      <w:pPr>
        <w:pStyle w:val="ConsPlusNormal"/>
        <w:jc w:val="both"/>
      </w:pPr>
      <w:r>
        <w:t xml:space="preserve">(пп. "е"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>ж) срок действия доверенности.</w:t>
      </w:r>
    </w:p>
    <w:p>
      <w:pPr>
        <w:pStyle w:val="ConsPlusNormal"/>
        <w:jc w:val="both"/>
      </w:pPr>
      <w:r>
        <w:t xml:space="preserve">(пп. "ж"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bookmarkStart w:id="20" w:name="P142"/>
      <w:bookmarkEnd w:id="20"/>
      <w:r>
        <w:t xml:space="preserve">6. Сведения, указанные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документа, передаются в единую систему идентификации и аутентификации в электронном виде, в том числе с использованием единой системы межведомственного электронного взаимодействия и (или) федеральной государственной информационной системы "Единый портал государственных и муниципальных услуг (функций)" (далее - Единый портал), интегрированной с единой системой идентификации и аутентификации.</w:t>
      </w:r>
    </w:p>
    <w:p>
      <w:pPr>
        <w:pStyle w:val="ConsPlusNormal"/>
        <w:spacing w:before="220"/>
        <w:ind w:firstLine="540"/>
        <w:jc w:val="both"/>
      </w:pPr>
      <w:r>
        <w:t>Срок хранения в единой системе идентификации и аутентификации сведений, указанных в настоящем пункте, определяется оператором единой системы идентификации и аутентификации и не может составлять менее 5 лет со дня окончания срока действия доверенности или срока отмены доверенности.</w:t>
      </w:r>
    </w:p>
    <w:p>
      <w:pPr>
        <w:pStyle w:val="ConsPlusNormal"/>
        <w:spacing w:before="220"/>
        <w:ind w:firstLine="540"/>
        <w:jc w:val="both"/>
      </w:pPr>
      <w:r>
        <w:t xml:space="preserve">Оператор единой системы идентификации и аутентификации обеспечивает предоставление сведений, указанных в настоящем пункте, посредством Единого портала, а также посредством их направления в информационные системы, присоединенные в установленном Правительством Российской Федерации порядке к единой системе идентификации и аутентификации, лицам, </w:t>
      </w:r>
      <w:r>
        <w:lastRenderedPageBreak/>
        <w:t>использующим доверенность, по их запросу, в том числе с использованием единой системы межведомственного электронного взаимодействия.</w:t>
      </w:r>
    </w:p>
    <w:p>
      <w:pPr>
        <w:pStyle w:val="ConsPlusNormal"/>
        <w:spacing w:before="220"/>
        <w:ind w:firstLine="540"/>
        <w:jc w:val="both"/>
      </w:pPr>
      <w:r>
        <w:t xml:space="preserve">Предоставление сведений в соответствии с </w:t>
      </w:r>
      <w:hyperlink w:anchor="P129">
        <w:r>
          <w:rPr>
            <w:color w:val="0000FF"/>
          </w:rPr>
          <w:t>пунктом 5</w:t>
        </w:r>
      </w:hyperlink>
      <w:r>
        <w:t xml:space="preserve"> настоящего документа осуществляется без использования персональных данных.</w:t>
      </w:r>
    </w:p>
    <w:p>
      <w:pPr>
        <w:pStyle w:val="ConsPlusNormal"/>
        <w:jc w:val="both"/>
      </w:pPr>
      <w:r>
        <w:t xml:space="preserve">(п. 6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spacing w:before="220"/>
        <w:ind w:firstLine="540"/>
        <w:jc w:val="both"/>
      </w:pPr>
      <w:r>
        <w:t xml:space="preserve">7. Положения </w:t>
      </w:r>
      <w:hyperlink w:anchor="P129">
        <w:r>
          <w:rPr>
            <w:color w:val="0000FF"/>
          </w:rPr>
          <w:t>пунктов 5</w:t>
        </w:r>
      </w:hyperlink>
      <w:r>
        <w:t xml:space="preserve"> и </w:t>
      </w:r>
      <w:hyperlink w:anchor="P142">
        <w:r>
          <w:rPr>
            <w:color w:val="0000FF"/>
          </w:rPr>
          <w:t>6</w:t>
        </w:r>
      </w:hyperlink>
      <w:r>
        <w:t xml:space="preserve"> настоящего документа не применяются оператором информационных систем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 в отношении информационных систем, определенных нормативным правовым актом такого органа, за исключением случаев получения доверенности в указанные информационные системы из иных информационных систем.</w:t>
      </w:r>
    </w:p>
    <w:p>
      <w:pPr>
        <w:pStyle w:val="ConsPlusNormal"/>
        <w:jc w:val="both"/>
      </w:pPr>
      <w:r>
        <w:t xml:space="preserve">(п. 7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12.09.2023 N 1481)</w:t>
      </w: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21" w:name="_GoBack"/>
      <w:bookmarkEnd w:id="2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876B8-810F-4F6F-99DF-F1F623E6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893&amp;dst=100095" TargetMode="External"/><Relationship Id="rId13" Type="http://schemas.openxmlformats.org/officeDocument/2006/relationships/hyperlink" Target="https://login.consultant.ru/link/?req=doc&amp;base=LAW&amp;n=456893&amp;dst=100102" TargetMode="External"/><Relationship Id="rId18" Type="http://schemas.openxmlformats.org/officeDocument/2006/relationships/hyperlink" Target="https://login.consultant.ru/link/?req=doc&amp;base=LAW&amp;n=470887&amp;dst=100011" TargetMode="External"/><Relationship Id="rId26" Type="http://schemas.openxmlformats.org/officeDocument/2006/relationships/hyperlink" Target="https://login.consultant.ru/link/?req=doc&amp;base=LAW&amp;n=456893&amp;dst=100117" TargetMode="External"/><Relationship Id="rId39" Type="http://schemas.openxmlformats.org/officeDocument/2006/relationships/hyperlink" Target="https://login.consultant.ru/link/?req=doc&amp;base=LAW&amp;n=499769&amp;dst=100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5605&amp;dst=100011" TargetMode="External"/><Relationship Id="rId34" Type="http://schemas.openxmlformats.org/officeDocument/2006/relationships/hyperlink" Target="https://login.consultant.ru/link/?req=doc&amp;base=LAW&amp;n=456893&amp;dst=100129" TargetMode="External"/><Relationship Id="rId42" Type="http://schemas.openxmlformats.org/officeDocument/2006/relationships/hyperlink" Target="https://login.consultant.ru/link/?req=doc&amp;base=LAW&amp;n=456893&amp;dst=10013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6893&amp;dst=100094" TargetMode="External"/><Relationship Id="rId12" Type="http://schemas.openxmlformats.org/officeDocument/2006/relationships/hyperlink" Target="https://login.consultant.ru/link/?req=doc&amp;base=LAW&amp;n=503689&amp;dst=100226" TargetMode="External"/><Relationship Id="rId17" Type="http://schemas.openxmlformats.org/officeDocument/2006/relationships/hyperlink" Target="https://login.consultant.ru/link/?req=doc&amp;base=LAW&amp;n=456893&amp;dst=100106" TargetMode="External"/><Relationship Id="rId25" Type="http://schemas.openxmlformats.org/officeDocument/2006/relationships/hyperlink" Target="https://login.consultant.ru/link/?req=doc&amp;base=LAW&amp;n=456893&amp;dst=100116" TargetMode="External"/><Relationship Id="rId33" Type="http://schemas.openxmlformats.org/officeDocument/2006/relationships/hyperlink" Target="https://login.consultant.ru/link/?req=doc&amp;base=LAW&amp;n=456893&amp;dst=100127" TargetMode="External"/><Relationship Id="rId38" Type="http://schemas.openxmlformats.org/officeDocument/2006/relationships/hyperlink" Target="https://login.consultant.ru/link/?req=doc&amp;base=LAW&amp;n=485605&amp;dst=100012" TargetMode="External"/><Relationship Id="rId46" Type="http://schemas.openxmlformats.org/officeDocument/2006/relationships/hyperlink" Target="https://login.consultant.ru/link/?req=doc&amp;base=LAW&amp;n=456893&amp;dst=1001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893&amp;dst=100104" TargetMode="External"/><Relationship Id="rId20" Type="http://schemas.openxmlformats.org/officeDocument/2006/relationships/hyperlink" Target="https://login.consultant.ru/link/?req=doc&amp;base=LAW&amp;n=456893&amp;dst=100110" TargetMode="External"/><Relationship Id="rId29" Type="http://schemas.openxmlformats.org/officeDocument/2006/relationships/hyperlink" Target="https://login.consultant.ru/link/?req=doc&amp;base=LAW&amp;n=456893&amp;dst=100125" TargetMode="External"/><Relationship Id="rId41" Type="http://schemas.openxmlformats.org/officeDocument/2006/relationships/hyperlink" Target="https://login.consultant.ru/link/?req=doc&amp;base=LAW&amp;n=456893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5605&amp;dst=100010" TargetMode="External"/><Relationship Id="rId11" Type="http://schemas.openxmlformats.org/officeDocument/2006/relationships/hyperlink" Target="https://login.consultant.ru/link/?req=doc&amp;base=LAW&amp;n=503689&amp;dst=100225" TargetMode="External"/><Relationship Id="rId24" Type="http://schemas.openxmlformats.org/officeDocument/2006/relationships/hyperlink" Target="https://login.consultant.ru/link/?req=doc&amp;base=LAW&amp;n=456893&amp;dst=100114" TargetMode="External"/><Relationship Id="rId32" Type="http://schemas.openxmlformats.org/officeDocument/2006/relationships/hyperlink" Target="https://login.consultant.ru/link/?req=doc&amp;base=LAW&amp;n=503689&amp;dst=284" TargetMode="External"/><Relationship Id="rId37" Type="http://schemas.openxmlformats.org/officeDocument/2006/relationships/hyperlink" Target="https://login.consultant.ru/link/?req=doc&amp;base=LAW&amp;n=456893&amp;dst=100133" TargetMode="External"/><Relationship Id="rId40" Type="http://schemas.openxmlformats.org/officeDocument/2006/relationships/hyperlink" Target="https://login.consultant.ru/link/?req=doc&amp;base=LAW&amp;n=456893&amp;dst=100136" TargetMode="External"/><Relationship Id="rId45" Type="http://schemas.openxmlformats.org/officeDocument/2006/relationships/hyperlink" Target="https://login.consultant.ru/link/?req=doc&amp;base=LAW&amp;n=456893&amp;dst=100143" TargetMode="External"/><Relationship Id="rId5" Type="http://schemas.openxmlformats.org/officeDocument/2006/relationships/hyperlink" Target="https://login.consultant.ru/link/?req=doc&amp;base=LAW&amp;n=456893&amp;dst=100091" TargetMode="External"/><Relationship Id="rId15" Type="http://schemas.openxmlformats.org/officeDocument/2006/relationships/hyperlink" Target="https://login.consultant.ru/link/?req=doc&amp;base=LAW&amp;n=503689&amp;dst=100226" TargetMode="External"/><Relationship Id="rId23" Type="http://schemas.openxmlformats.org/officeDocument/2006/relationships/hyperlink" Target="https://login.consultant.ru/link/?req=doc&amp;base=LAW&amp;n=456893&amp;dst=100113" TargetMode="External"/><Relationship Id="rId28" Type="http://schemas.openxmlformats.org/officeDocument/2006/relationships/hyperlink" Target="https://login.consultant.ru/link/?req=doc&amp;base=LAW&amp;n=456893&amp;dst=100120" TargetMode="External"/><Relationship Id="rId36" Type="http://schemas.openxmlformats.org/officeDocument/2006/relationships/hyperlink" Target="https://login.consultant.ru/link/?req=doc&amp;base=LAW&amp;n=456893&amp;dst=100131" TargetMode="External"/><Relationship Id="rId10" Type="http://schemas.openxmlformats.org/officeDocument/2006/relationships/hyperlink" Target="https://login.consultant.ru/link/?req=doc&amp;base=LAW&amp;n=485605&amp;dst=100011" TargetMode="External"/><Relationship Id="rId19" Type="http://schemas.openxmlformats.org/officeDocument/2006/relationships/hyperlink" Target="https://login.consultant.ru/link/?req=doc&amp;base=LAW&amp;n=456893&amp;dst=100108" TargetMode="External"/><Relationship Id="rId31" Type="http://schemas.openxmlformats.org/officeDocument/2006/relationships/hyperlink" Target="https://login.consultant.ru/link/?req=doc&amp;base=LAW&amp;n=485605&amp;dst=100012" TargetMode="External"/><Relationship Id="rId44" Type="http://schemas.openxmlformats.org/officeDocument/2006/relationships/hyperlink" Target="https://login.consultant.ru/link/?req=doc&amp;base=LAW&amp;n=456893&amp;dst=1001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893&amp;dst=100099" TargetMode="External"/><Relationship Id="rId14" Type="http://schemas.openxmlformats.org/officeDocument/2006/relationships/hyperlink" Target="https://login.consultant.ru/link/?req=doc&amp;base=LAW&amp;n=503689&amp;dst=100225" TargetMode="External"/><Relationship Id="rId22" Type="http://schemas.openxmlformats.org/officeDocument/2006/relationships/hyperlink" Target="https://login.consultant.ru/link/?req=doc&amp;base=LAW&amp;n=499769&amp;dst=100368" TargetMode="External"/><Relationship Id="rId27" Type="http://schemas.openxmlformats.org/officeDocument/2006/relationships/hyperlink" Target="https://login.consultant.ru/link/?req=doc&amp;base=LAW&amp;n=456893&amp;dst=100119" TargetMode="External"/><Relationship Id="rId30" Type="http://schemas.openxmlformats.org/officeDocument/2006/relationships/hyperlink" Target="https://login.consultant.ru/link/?req=doc&amp;base=LAW&amp;n=456893&amp;dst=100126" TargetMode="External"/><Relationship Id="rId35" Type="http://schemas.openxmlformats.org/officeDocument/2006/relationships/hyperlink" Target="https://login.consultant.ru/link/?req=doc&amp;base=LAW&amp;n=470887&amp;dst=100011" TargetMode="External"/><Relationship Id="rId43" Type="http://schemas.openxmlformats.org/officeDocument/2006/relationships/hyperlink" Target="https://login.consultant.ru/link/?req=doc&amp;base=LAW&amp;n=456893&amp;dst=10014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22391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2025-12-04T11:53:00Z</dcterms:created>
  <dcterms:modified xsi:type="dcterms:W3CDTF">2025-12-04T11:53:00Z</dcterms:modified>
</cp:coreProperties>
</file>