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xt"/>
        <w:spacing w:before="0" w:beforeAutospacing="0" w:after="0" w:afterAutospacing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>
      <w:pPr>
        <w:pStyle w:val="txt"/>
        <w:spacing w:before="0" w:beforeAutospacing="0" w:after="0" w:afterAutospacing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>
      <w:pPr>
        <w:pStyle w:val="txt"/>
        <w:spacing w:before="0" w:beforeAutospacing="0" w:after="0" w:afterAutospacing="0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СОГЛАШЕНИЕ № </w:t>
      </w:r>
      <w:bookmarkStart w:id="0" w:name="ContractNumber"/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bookmarkEnd w:id="0"/>
      <w:r>
        <w:rPr>
          <w:rFonts w:ascii="Garamond" w:hAnsi="Garamond" w:cs="Times New Roman"/>
          <w:b/>
          <w:bCs/>
          <w:sz w:val="24"/>
          <w:szCs w:val="24"/>
        </w:rPr>
        <w:br/>
        <w:t xml:space="preserve">об обмене документами в электронной форме </w:t>
      </w:r>
    </w:p>
    <w:p>
      <w:pPr>
        <w:pStyle w:val="txt"/>
        <w:spacing w:before="0" w:beforeAutospacing="0" w:after="0" w:afterAutospacing="0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через операторов электронного документооборота</w:t>
      </w:r>
    </w:p>
    <w:p>
      <w:pPr>
        <w:pStyle w:val="txt"/>
        <w:spacing w:before="0" w:beforeAutospacing="0" w:after="0" w:afterAutospacing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>
      <w:pPr>
        <w:pStyle w:val="txt"/>
        <w:spacing w:before="0" w:beforeAutospacing="0" w:after="0" w:afterAutospacing="0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>
      <w:pPr>
        <w:widowControl w:val="0"/>
        <w:tabs>
          <w:tab w:val="right" w:pos="9356"/>
        </w:tabs>
        <w:spacing w:before="120" w:after="120" w:line="312" w:lineRule="auto"/>
        <w:jc w:val="both"/>
        <w:rPr>
          <w:rFonts w:ascii="Garamond" w:hAnsi="Garamond"/>
          <w:b/>
          <w:color w:val="000000"/>
          <w:sz w:val="22"/>
          <w:szCs w:val="22"/>
          <w:lang w:eastAsia="en-US"/>
        </w:rPr>
      </w:pPr>
      <w:r>
        <w:rPr>
          <w:rFonts w:ascii="Garamond" w:hAnsi="Garamond"/>
          <w:b/>
          <w:color w:val="000000"/>
          <w:sz w:val="22"/>
          <w:szCs w:val="22"/>
          <w:lang w:eastAsia="en-US"/>
        </w:rPr>
        <w:t>г. Москва</w:t>
      </w:r>
      <w:r>
        <w:rPr>
          <w:rFonts w:ascii="Garamond" w:hAnsi="Garamond"/>
          <w:b/>
          <w:color w:val="000000"/>
          <w:sz w:val="22"/>
          <w:szCs w:val="22"/>
          <w:lang w:eastAsia="en-US"/>
        </w:rPr>
        <w:tab/>
      </w:r>
    </w:p>
    <w:p>
      <w:pPr>
        <w:widowControl w:val="0"/>
        <w:spacing w:before="120" w:after="120" w:line="312" w:lineRule="auto"/>
        <w:ind w:left="720"/>
        <w:jc w:val="both"/>
        <w:rPr>
          <w:rFonts w:ascii="Garamond" w:hAnsi="Garamond"/>
          <w:color w:val="000000"/>
          <w:sz w:val="22"/>
          <w:szCs w:val="22"/>
          <w:lang w:eastAsia="en-US"/>
        </w:rPr>
      </w:pPr>
    </w:p>
    <w:p>
      <w:pPr>
        <w:widowControl w:val="0"/>
        <w:ind w:firstLine="709"/>
        <w:jc w:val="both"/>
        <w:rPr>
          <w:rFonts w:ascii="Garamond" w:hAnsi="Garamond"/>
          <w:color w:val="000000"/>
          <w:sz w:val="22"/>
          <w:szCs w:val="22"/>
          <w:lang w:eastAsia="en-US"/>
        </w:rPr>
      </w:pPr>
      <w:r>
        <w:rPr>
          <w:rFonts w:ascii="Garamond" w:hAnsi="Garamond"/>
          <w:color w:val="000000"/>
          <w:sz w:val="22"/>
          <w:szCs w:val="22"/>
          <w:lang w:eastAsia="en-US"/>
        </w:rPr>
        <w:fldChar w:fldCharType="begin">
          <w:ffData>
            <w:name w:val="CompanyName"/>
            <w:enabled/>
            <w:calcOnExit w:val="0"/>
            <w:textInput/>
          </w:ffData>
        </w:fldChar>
      </w:r>
      <w:bookmarkStart w:id="1" w:name="CompanyName"/>
      <w:r>
        <w:rPr>
          <w:rFonts w:ascii="Garamond" w:hAnsi="Garamond"/>
          <w:color w:val="000000"/>
          <w:sz w:val="22"/>
          <w:szCs w:val="22"/>
          <w:lang w:eastAsia="en-US"/>
        </w:rPr>
        <w:instrText xml:space="preserve"> FORMTEXT </w:instrText>
      </w:r>
      <w:r>
        <w:rPr>
          <w:rFonts w:ascii="Garamond" w:hAnsi="Garamond"/>
          <w:color w:val="000000"/>
          <w:sz w:val="22"/>
          <w:szCs w:val="22"/>
          <w:lang w:eastAsia="en-US"/>
        </w:rPr>
      </w:r>
      <w:r>
        <w:rPr>
          <w:rFonts w:ascii="Garamond" w:hAnsi="Garamond"/>
          <w:color w:val="000000"/>
          <w:sz w:val="22"/>
          <w:szCs w:val="22"/>
          <w:lang w:eastAsia="en-US"/>
        </w:rPr>
        <w:fldChar w:fldCharType="separate"/>
      </w:r>
      <w:r>
        <w:rPr>
          <w:rFonts w:ascii="Garamond" w:hAnsi="Garamond"/>
          <w:color w:val="000000"/>
          <w:sz w:val="22"/>
          <w:szCs w:val="22"/>
          <w:lang w:eastAsia="en-US"/>
        </w:rPr>
        <w:t>Акционерное общество "Центр финансовых расчетов"</w:t>
      </w:r>
      <w:r>
        <w:rPr>
          <w:rFonts w:ascii="Garamond" w:hAnsi="Garamond"/>
          <w:color w:val="000000"/>
          <w:sz w:val="22"/>
          <w:szCs w:val="22"/>
          <w:lang w:eastAsia="en-US"/>
        </w:rPr>
        <w:fldChar w:fldCharType="end"/>
      </w:r>
      <w:bookmarkEnd w:id="1"/>
      <w:r>
        <w:rPr>
          <w:rFonts w:ascii="Garamond" w:hAnsi="Garamond"/>
          <w:color w:val="000000"/>
          <w:sz w:val="22"/>
          <w:szCs w:val="22"/>
          <w:lang w:eastAsia="en-US"/>
        </w:rPr>
        <w:t xml:space="preserve">, именуемое в дальнейшем «Сторона 1», в лице ____________________________действующего (ей) на основании ________, с одной стороны и___________________________________________________________________________________, именуемое в дальнейшем «Сторона 2», в лице ______________________________________________ </w:t>
      </w:r>
      <w:r>
        <w:rPr>
          <w:rFonts w:ascii="Garamond" w:hAnsi="Garamond"/>
          <w:bCs/>
          <w:iCs/>
          <w:color w:val="000000"/>
          <w:sz w:val="22"/>
          <w:szCs w:val="22"/>
          <w:lang w:eastAsia="en-US"/>
        </w:rPr>
        <w:t>____________________________________________________________________________________</w:t>
      </w:r>
      <w:r>
        <w:rPr>
          <w:rFonts w:ascii="Garamond" w:hAnsi="Garamond"/>
          <w:bCs/>
          <w:color w:val="000000"/>
          <w:sz w:val="22"/>
          <w:szCs w:val="22"/>
          <w:lang w:eastAsia="en-US"/>
        </w:rPr>
        <w:t>, действующего (ей) на основании ________________________________________________________</w:t>
      </w:r>
      <w:r>
        <w:rPr>
          <w:rFonts w:ascii="Garamond" w:hAnsi="Garamond"/>
          <w:color w:val="000000"/>
          <w:sz w:val="22"/>
          <w:szCs w:val="22"/>
          <w:lang w:eastAsia="en-US"/>
        </w:rPr>
        <w:t xml:space="preserve">, с другой стороны, </w:t>
      </w:r>
    </w:p>
    <w:p>
      <w:pPr>
        <w:widowControl w:val="0"/>
        <w:ind w:firstLine="709"/>
        <w:jc w:val="both"/>
        <w:rPr>
          <w:rFonts w:ascii="Garamond" w:hAnsi="Garamond"/>
          <w:color w:val="000000"/>
          <w:sz w:val="22"/>
          <w:szCs w:val="22"/>
          <w:lang w:eastAsia="en-US"/>
        </w:rPr>
      </w:pPr>
    </w:p>
    <w:p>
      <w:pPr>
        <w:widowControl w:val="0"/>
        <w:ind w:left="709"/>
        <w:rPr>
          <w:rFonts w:ascii="Garamond" w:hAnsi="Garamond"/>
          <w:color w:val="000000"/>
          <w:sz w:val="22"/>
          <w:szCs w:val="22"/>
          <w:lang w:eastAsia="en-US"/>
        </w:rPr>
      </w:pPr>
      <w:r>
        <w:rPr>
          <w:rFonts w:ascii="Garamond" w:hAnsi="Garamond"/>
          <w:color w:val="000000"/>
          <w:sz w:val="22"/>
          <w:szCs w:val="22"/>
          <w:lang w:eastAsia="en-US"/>
        </w:rPr>
        <w:t xml:space="preserve">при одновременном упоминании именуемые «Стороны», а по отдельности «Сторона», </w:t>
      </w:r>
    </w:p>
    <w:p>
      <w:pPr>
        <w:widowControl w:val="0"/>
        <w:ind w:firstLine="709"/>
        <w:jc w:val="both"/>
        <w:rPr>
          <w:rFonts w:ascii="Garamond" w:hAnsi="Garamond"/>
          <w:color w:val="000000"/>
          <w:sz w:val="22"/>
          <w:szCs w:val="22"/>
          <w:lang w:eastAsia="en-US"/>
        </w:rPr>
      </w:pPr>
      <w:r>
        <w:rPr>
          <w:rFonts w:ascii="Garamond" w:hAnsi="Garamond"/>
          <w:color w:val="000000"/>
          <w:sz w:val="22"/>
          <w:szCs w:val="22"/>
          <w:lang w:eastAsia="en-US"/>
        </w:rPr>
        <w:t>ПРИНИМАЯ ВО ВНИМАНИЕ, ЧТО Стороны настоящего Соглашения достигли взаимного согласия о составлении первичных документов, актов сверки расчетов, а также счетов-фактур, в электронной форме.</w:t>
      </w:r>
    </w:p>
    <w:p>
      <w:pPr>
        <w:widowControl w:val="0"/>
        <w:ind w:firstLine="709"/>
        <w:jc w:val="both"/>
        <w:rPr>
          <w:rFonts w:ascii="Garamond" w:hAnsi="Garamond"/>
          <w:color w:val="000000"/>
          <w:sz w:val="22"/>
          <w:szCs w:val="22"/>
          <w:lang w:eastAsia="en-US"/>
        </w:rPr>
      </w:pPr>
      <w:r>
        <w:rPr>
          <w:rFonts w:ascii="Garamond" w:hAnsi="Garamond"/>
          <w:color w:val="000000"/>
          <w:sz w:val="22"/>
          <w:szCs w:val="22"/>
          <w:lang w:eastAsia="en-US"/>
        </w:rPr>
        <w:t>ПРИНИМАЯ ВО ВНИМАНИЕ, ЧТО к процедуре заключения настоящего Соглашения применяются правила статьи 428 Гражданского кодекса Российской Федерации и условия настоящего Соглашения принимаются Стороной 2 путем присоединения к настоящему Соглашению в целом;</w:t>
      </w:r>
    </w:p>
    <w:p>
      <w:pPr>
        <w:widowControl w:val="0"/>
        <w:ind w:firstLine="709"/>
        <w:jc w:val="both"/>
        <w:rPr>
          <w:rFonts w:ascii="Garamond" w:hAnsi="Garamond"/>
          <w:color w:val="000000"/>
          <w:sz w:val="22"/>
          <w:szCs w:val="22"/>
          <w:lang w:eastAsia="en-US"/>
        </w:rPr>
      </w:pPr>
      <w:r>
        <w:rPr>
          <w:rFonts w:ascii="Garamond" w:hAnsi="Garamond"/>
          <w:color w:val="000000"/>
          <w:sz w:val="22"/>
          <w:szCs w:val="22"/>
          <w:lang w:eastAsia="en-US"/>
        </w:rPr>
        <w:t>заключили настоящее Соглашение о нижеследующем:</w:t>
      </w:r>
    </w:p>
    <w:p>
      <w:pPr>
        <w:widowControl w:val="0"/>
        <w:ind w:firstLine="435"/>
        <w:jc w:val="both"/>
        <w:rPr>
          <w:rFonts w:ascii="Garamond" w:hAnsi="Garamond"/>
          <w:color w:val="000000"/>
          <w:sz w:val="22"/>
          <w:szCs w:val="22"/>
          <w:lang w:eastAsia="en-US"/>
        </w:rPr>
      </w:pPr>
    </w:p>
    <w:p>
      <w:pPr>
        <w:widowControl w:val="0"/>
        <w:numPr>
          <w:ilvl w:val="0"/>
          <w:numId w:val="1"/>
        </w:numPr>
        <w:spacing w:before="120" w:after="120" w:line="312" w:lineRule="auto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ПРЕДМЕТ СОГЛАШЕНИЯ</w:t>
      </w:r>
    </w:p>
    <w:p>
      <w:pPr>
        <w:widowControl w:val="0"/>
        <w:tabs>
          <w:tab w:val="num" w:pos="709"/>
        </w:tabs>
        <w:spacing w:before="120" w:after="120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ab/>
        <w:t>Предметом настоящего Соглашения является определение порядка и условий взаимодействия Сторон в процессе обмена документами в электронной форме во исполнение своих обязательств по договорам, заключаемым между ними, через Операторов юридически значимого электронного документооборота.</w:t>
      </w:r>
    </w:p>
    <w:p>
      <w:pPr>
        <w:widowControl w:val="0"/>
        <w:tabs>
          <w:tab w:val="num" w:pos="1003"/>
        </w:tabs>
        <w:spacing w:before="120" w:after="120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numPr>
          <w:ilvl w:val="0"/>
          <w:numId w:val="1"/>
        </w:numPr>
        <w:spacing w:before="120" w:after="120" w:line="312" w:lineRule="auto"/>
        <w:ind w:left="437" w:hanging="437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ТЕРМИНЫ И ОПРЕДЕЛЕНИЯ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Электронный документ (ЭД)</w:t>
      </w:r>
      <w:r>
        <w:rPr>
          <w:rFonts w:ascii="Garamond" w:hAnsi="Garamond"/>
          <w:bCs/>
          <w:iCs/>
          <w:color w:val="000000"/>
          <w:sz w:val="22"/>
          <w:szCs w:val="22"/>
        </w:rPr>
        <w:t>, документ в электронной форме) – документированная информация, предусмотренная Приложением № 1 к настоящему Соглашению,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 (подписываемая информация).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Электронная подпись (ЭП)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Электронный документооборот (ЭДО)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- электронное взаимодействие Сторон настоящего Соглашения, осуществляемое путем обмена электронными документами, подписанными электронной подписью.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Оператор электронного документооборота (Оператор ЭДО)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– российская организация, обладающая достаточными технологическими, кадровыми и правовыми возможностями для обеспечения юридически значимого документооборота в электронной форме с использованием усиленной квалифицированной электронной подписи между участниками электронного документооборота, включенная в Реестр операторов электронного документооборота в соответствии с требованиями ФНС России.</w:t>
      </w:r>
      <w:bookmarkStart w:id="2" w:name="_GoBack"/>
      <w:bookmarkEnd w:id="2"/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Аккредитованный удостоверяющий центр (Аккредитованный УЦ)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– удостоверяющий центр, получивший аккредитацию в соответствии с Федеральным законом от 06.04.2011 № 63-ФЗ «Об электронной подписи» (далее – Закон об электронной подписи), а также удостоверяющий центр федерального органа исполнительной власти, уполномоченного на осуществление государственной регистрации юридических лиц, осуществляющие функции по созданию и выдаче сертификатов </w:t>
      </w:r>
      <w:r>
        <w:rPr>
          <w:rFonts w:ascii="Garamond" w:hAnsi="Garamond"/>
          <w:bCs/>
          <w:iCs/>
          <w:color w:val="000000"/>
          <w:sz w:val="22"/>
          <w:szCs w:val="22"/>
        </w:rPr>
        <w:lastRenderedPageBreak/>
        <w:t>ключей проверки электронных подписей, а также иные функции, предусмотренные Законом об электронной подписи.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Направляющая Сторона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– Сторона 1 или Сторона 2, направляющая электронный документ по телекоммуникационным каналам связи другой Стороне.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Получающая Сторона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– Сторона 1 или Сторона 2, получающая от Направляющей Стороны электронный документ по телекоммуникационным каналам связи.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Владелец сертификата ключа проверки электронной подписи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– лицо, которому в установленном порядке выдан сертификат ключа проверки электронной подписи.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Средство электронной подписи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– сертифицированное средство криптографической защиты информации, обеспечивающее реализацию следующих функций: создание электронной подписи, проверку электронной подписи, создание ключа электронной подписи и ключа проверки электронной подписи. 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Ключ электронной подписи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– уникальная последовательность символов, предназначенная для создания электронной подписи.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Ключ проверки электронной подписи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– уникальная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 (проверка электронной подписи).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Сертификат ключа проверки электронной подписи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– электронный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>Квалифицированный сертификат ключа проверки электронной подписи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</w:t>
      </w:r>
      <w:r>
        <w:rPr>
          <w:rFonts w:ascii="Garamond" w:hAnsi="Garamond"/>
          <w:b/>
          <w:bCs/>
          <w:iCs/>
          <w:color w:val="000000"/>
          <w:sz w:val="22"/>
          <w:szCs w:val="22"/>
        </w:rPr>
        <w:t>(Квалифицированный сертификат)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– сертификат ключа проверки электронной подписи, соответствующий требованиям, установленным Законом об электронной подписи и иными принимаемыми в соответствии с ним нормативными правовыми актами, и созданный аккредитованным удостоверяющим центром либо федеральным органом исполнительной власти, уполномоченным в сфере использования электронной подписи, и являющийся в связи с этим официальным документом.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Усиленная квалифицированная электронная подпись юридического лица </w:t>
      </w:r>
      <w:r>
        <w:rPr>
          <w:rFonts w:ascii="Garamond" w:hAnsi="Garamond"/>
          <w:bCs/>
          <w:iCs/>
          <w:color w:val="000000"/>
          <w:sz w:val="22"/>
          <w:szCs w:val="22"/>
        </w:rPr>
        <w:t>-</w:t>
      </w:r>
      <w:r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электронная подпись, для которой в качестве владельца сертификата ключа проверки электронной подписи, юридического лица указывается физическое лицо, действующее от имени юридического лица без доверенности. </w:t>
      </w:r>
    </w:p>
    <w:p>
      <w:pPr>
        <w:widowControl w:val="0"/>
        <w:ind w:firstLine="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Усиленная квалифицированная электронная подпись физического лица </w:t>
      </w:r>
      <w:r>
        <w:rPr>
          <w:rFonts w:ascii="Garamond" w:hAnsi="Garamond"/>
          <w:bCs/>
          <w:iCs/>
          <w:color w:val="000000"/>
          <w:sz w:val="22"/>
          <w:szCs w:val="22"/>
        </w:rPr>
        <w:t>- электронная подпись, соответствующая всем признакам квалифицированной электронной подписи, предусмотренным Законом об электронной подписи, для которой в качестве владельца сертификата ключа проверки электронной подписи указывается физическое лицо.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 </w:t>
      </w:r>
      <w:r>
        <w:rPr>
          <w:rFonts w:ascii="Garamond" w:hAnsi="Garamond"/>
          <w:b/>
          <w:bCs/>
          <w:iCs/>
          <w:color w:val="000000"/>
          <w:sz w:val="22"/>
          <w:szCs w:val="22"/>
        </w:rPr>
        <w:t>Машиночитаемая доверенность (МЧД)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- это доверенность, составленная в электронной форме в формате XML, подписанная усиленной квалифицированной электронной подписью и оформленная в соответствии с действующим законодательством.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 </w:t>
      </w:r>
      <w:r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Роуминг </w:t>
      </w:r>
      <w:r>
        <w:rPr>
          <w:rFonts w:ascii="Garamond" w:hAnsi="Garamond"/>
          <w:bCs/>
          <w:iCs/>
          <w:color w:val="000000"/>
          <w:sz w:val="22"/>
          <w:szCs w:val="22"/>
        </w:rPr>
        <w:t>– организация электронного документооборота между участниками информационного взаимодействия, которые работают в системах электронного документооборота, принадлежащих разным Операторам ЭДО через межоператорское взаимодействие.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Иные понятия, используемые в настоящем Соглашении, применяются в значениях, установленных законодательством Российской Федерации.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3. ОБЩИЕ ПОЛОЖЕНИЯ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tabs>
          <w:tab w:val="num" w:pos="0"/>
        </w:tabs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3.1. Взаимодействие Сторон по настоящему Соглашению осуществляется путем обмена электронными документами между Сторонами, если иное прямо не указано в настоящем Соглашении.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3.2. Настоящим Соглашением Стороны устанавливают порядок электронного документооборота во исполнение своих обязательств по договорам, заключенным между Сторонами.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3.3. В рамках настоящего Соглашения Стороны осуществляют обмен электронными документами, перечень и форматы которых определены в Приложении № 1 к настоящему Соглашению.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3.4. Электронные документы, которыми Стороны обмениваются в рамках настоящего Соглашения, должны быть подписаны усиленной квалифицированной электронной подписью.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3.5. В целях осуществления электронного документооборота в рамках настоящего Соглашения Сторона 1 и Сторона 2 обязаны самостоятельно получить сертификаты ключей проверки электронной подписи в аккредитованном удостоверяющем центре в порядке, предусмотренном законодательством об электронной подписи.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3.6. В целях осуществления электронного документооборота в рамках настоящего Соглашения </w:t>
      </w:r>
      <w:r>
        <w:rPr>
          <w:rFonts w:ascii="Garamond" w:hAnsi="Garamond"/>
          <w:bCs/>
          <w:iCs/>
          <w:color w:val="000000"/>
          <w:sz w:val="22"/>
          <w:szCs w:val="22"/>
        </w:rPr>
        <w:lastRenderedPageBreak/>
        <w:t>Стороны руководствуются Гражданским кодексом Российской Федерации, Налоговым кодексом Российской Федерации, законодательством об электронной подписи и о бухгалтерском учете, а также актами уполномоченных государственных органов о формах и правилах заполнения (ведения) документов, применяемых при расчетах по налогу на добавленную стоимость. При этом в случае принятия и вступления в силу иных нормативных правовых актов, изменяющих либо отменяющих положения указанных выше актов, Стороны руководствуются положениями вступивших в силу нормативных правовых актов.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3.7. Отношения Сторон, связанные с формированием, редактированием, обработкой, отправкой, получением, отображением, хранением электронных документов в рамках настоящего Соглашения, регулируются в рамках соответствующих договорных отношений между Сторонами настоящего Соглашения и Операторами ЭДО в случае, если настоящим Соглашением не установлено иное.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3.8. В случае, если в целях обмена электронными документами в рамках настоящего Соглашения Стороны пользуются услугами различных Операторов ЭДО, обмен электронными документами осуществляется с использованием технологии роуминга.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3.9. Подтверждение полномочий лиц, осуществляющих подписание электронных документов усиленной квалифицированной электронной подписью физического лица, осуществляется путем предоставления МЧД.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Предоставление МЧД осуществляется путем включения ее в пакет электронных документов, если Сторонами настоящего Соглашения не согласован иной порядок представления доверенности в соответствии с действующим законодательством, путем выбора способа в соответствии с условиями пункта 4.2 настоящего Соглашения.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3.10. Операторы ЭДО, услугами которых пользуются Стороны, должны соответствовать требованиям, утверждаемым федеральным органом исполнительной власти, уполномоченным осуществлять функции по контролю и надзору в сфере налогов и сборов.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4. ПРАВА И ОБЯЗАННОСТИ СТОРОН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tabs>
          <w:tab w:val="num" w:pos="0"/>
        </w:tabs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ab/>
        <w:t>4.1. Стороны осуществляют обмен документами в электронной форме в соответствии с настоящим Соглашением и согласно договорным обязательствам между Сторонами настоящего Соглашения и Операторами ЭДО.</w:t>
      </w:r>
    </w:p>
    <w:p>
      <w:pPr>
        <w:widowControl w:val="0"/>
        <w:tabs>
          <w:tab w:val="num" w:pos="0"/>
        </w:tabs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ab/>
        <w:t>4.2. Стороны настоящего Соглашения обязуются: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соблюдать условия конфиденциальности, установленные статьей 10 настоящего Соглашения;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соблюдать требования эксплуатационной документации на средство электронной подписи;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содержать в исправном состоянии программно-технические средства, которые подключены к системе электронного документооборота, принимать необходимые и достаточные меры для предотвращения несанкционированного доступа к программному обеспечению и средствам криптографической защиты информации;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незамедлительно сообщать Оператору ЭДО и другой Стороне обо всех попытках несанкционированного доступа к программному обеспечению и средствам криптографической защиты информации;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своевременно уведомлять другую Сторону об изменении любых сведений, в случае, если изменение таких сведений может повлиять на своевременное получение или направление такой стороной любой информации, подлежащей направлению в соответствии с настоящим Соглашением, в том числе, электронных документов, с целью обмена которыми Сторонами заключено настоящее Соглашение;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самостоятельно обеспечивать хранение направленных и полученных электронных документов в течение сроков, установленных законодательством Российской Федерации;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представлять МЧД одним из законодательно установленных способов, который считается согласованным для каждой из Сторон и становится обязательным для использования такой Стороной при последующих представлениях МЧД с момента направления ею в адрес другой Стороны уведомления по форме, утвержденной Приложением № 3 к настоящему Соглашению;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незамедлительно информировать друг друга в порядке, установленном пунктом 14.3 настоящего Соглашения, о невозможности обмена документами в электронной форме, подписанными усиленной квалифицированной электронной подписью, в том числе в случае технического сбоя внутренних систем Стороны, а также в случаях, предусмотренных </w:t>
      </w:r>
      <w:r>
        <w:rPr>
          <w:rFonts w:ascii="Garamond" w:hAnsi="Garamond"/>
          <w:bCs/>
          <w:iCs/>
          <w:color w:val="000000"/>
          <w:sz w:val="22"/>
          <w:szCs w:val="22"/>
        </w:rPr>
        <w:lastRenderedPageBreak/>
        <w:t>пунктами 8.3, 16.2 настоящего Соглашения;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приложить все усилия к устранению причин невозможности осуществления ЭДО и после их устранения уведомить другую Сторону о возобновлении электронного документооборота в порядке, установленном пунктом 14.3 настоящего Соглашения;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в предусмотренных настоящим Соглашением случаях обмена документами, указанными в Приложении № 1 к настоящему Соглашению, на бумажном носителе, соблюдать сроки и порядок направления документов на бумажном носителе, предусмотренные соответствующим договором, заключенным между Сторонами настоящего Соглашения, во исполнение обязательств по которому осуществляется обмен такими документами.</w:t>
      </w:r>
    </w:p>
    <w:p>
      <w:pPr>
        <w:widowControl w:val="0"/>
        <w:tabs>
          <w:tab w:val="num" w:pos="709"/>
        </w:tabs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ab/>
        <w:t>4.3. Стороны настоящего Соглашения вправе запрашивать у другой Стороны документы, подтверждающие полномочия лиц, осуществляющих подписание усиленной квалифицированной электронной подписью электронных документов, с целью обмена которыми Сторонами заключено настоящее Соглашение.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5. ПРИМЕНЕНИЕ ЭЛЕКТРОННОЙ ПОДПИСИ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tabs>
          <w:tab w:val="num" w:pos="0"/>
        </w:tabs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5.1. Информация в электронной форме, подписанная усиленной квалифицированной электронной подписью, признается Сторонами настоящего Соглашения электронным документом, равнозначным документу на бумажном носителе, подписанному собственноручной подписью при условии соблюдения требований статьи 7 настоящего Соглашения.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5.2. Получение электронного документа, подписанного усиленной квалифицированной электронной подписью в соответствии с условиями настоящего Соглашения и наличие положительного результата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отсутствие изменений, внесенных в этот документ, являются необходимыми и достаточными условиями, позволяющими установить, что электронный документ исходит от Стороны, его отправившей.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5.3. Риск неправомерного подписания электронного документа электронной подписью несет Сторона, уполномоченный представитель которой является владельцем сертификата ключа проверки электронной подписи.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5.4. Стороны обязуются использовать, принимать и признавать сертификаты ключей проверки электронной подписи, созданные аккредитованными удостоверяющими центрами.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5.5. В рамках настоящего Соглашения электронный документ может быть подписан только электронной подписью, ключ проверки электронной подписи которой зарегистрирован аккредитованным удостоверяющим центром.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5.6. Подписание электронного документа, аналог которого на бумажном носителе должен содержать подписи обеих Сторон, осуществляется путем последовательного подписания данного электронного документа каждой из Сторон.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5.7. Любой электронный документ, который должен быть подписан электронной подписью в соответствии с требованиями настоящего Соглашения, но не содержащий электронной подписи, не влечет правовых последствий.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5.8. Организация электронного документооборота между Сторонами настоящего Соглашения не отменяет возможности использования иных способов изготовления и обмена документами между Сторонами в рамках обязательств, не регулируемых настоящим Соглашением.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6. СРЕДСТВО ЭЛЕКТРОННОЙ ПОДПИСИ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6.1. Стороны не позднее 5 (пяти) рабочих дней после подписания настоящего Соглашения обязуются за свой счет получить сертификаты электронной подписи и обеспечить наличие действующих сертификатов электронной подписи в течение всего срока действия данного Соглашения.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6.2. Условия использования средств электронной подписи, порядок проверки электронной подписи, правила обращения с ключами и сертификатами усиленной квалифицированной электронной подписи устанавливаются нормативными документами (регламентами) аккредитованных удостоверяющих центров, выдавших сертификаты ключей проверки электронной подписи, по данным вопросам Стороны руководствуются нормативными документами (регламентами) соответствующих аккредитованных удостоверяющих центров. 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6.3. Стороны обязуются в качестве средства электронной подписи при выполнении функций создания электронной подписи в электронном документе с использованием ключа электронной </w:t>
      </w:r>
      <w:r>
        <w:rPr>
          <w:rFonts w:ascii="Garamond" w:hAnsi="Garamond"/>
          <w:bCs/>
          <w:iCs/>
          <w:color w:val="000000"/>
          <w:sz w:val="22"/>
          <w:szCs w:val="22"/>
        </w:rPr>
        <w:lastRenderedPageBreak/>
        <w:t>подписи, подтверждения с использованием ключа проверки электронной подписи подлинности электронной подписи в электронном документе, создания ключей подписи и ключей проверки подписи использовать средства криптографической защиты информации, полученные законным путем, в соответствии с требованиями формуляров на указанные изделия.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6.4. Стороны обязуются обеспечивать сохранение в тайне ключей электронной подписи.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7. УСЛОВИЯ РАВНОЗНАЧНОСТИ ЭЛЕКТРОННОЙ ПОДПИСИ СОБСТВЕННОРУЧНОЙ</w:t>
      </w:r>
    </w:p>
    <w:p>
      <w:pPr>
        <w:widowControl w:val="0"/>
        <w:jc w:val="center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tabs>
          <w:tab w:val="num" w:pos="709"/>
        </w:tabs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ab/>
        <w:t>Усиленная квалифицированная электронная подпись в электронном документе равнозначна собственноручной подписи владельца сертификата ключа проверки электронной подписи при одновременном выполнении следующих условий: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bCs/>
          <w:iCs/>
          <w:color w:val="000000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федеральными законами или принимаемыми в соответствии с ними нормативными правовыми актами не установлено требование о составлении подписываемого данной электронной подписью документа исключительно на бумажном носителе;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bCs/>
          <w:iCs/>
          <w:color w:val="000000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>
      <w:pPr>
        <w:widowControl w:val="0"/>
        <w:numPr>
          <w:ilvl w:val="1"/>
          <w:numId w:val="4"/>
        </w:numPr>
        <w:tabs>
          <w:tab w:val="num" w:pos="720"/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имеющих подтверждение соответствия требованиям, установленным в соответствии с законодательством об электронной подписи, и с использованием квалифицированного сертификата лица, подписавшего электронный документ.</w:t>
      </w:r>
    </w:p>
    <w:p>
      <w:pPr>
        <w:widowControl w:val="0"/>
        <w:tabs>
          <w:tab w:val="num" w:pos="1134"/>
          <w:tab w:val="num" w:pos="1853"/>
        </w:tabs>
        <w:ind w:left="1134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tabs>
          <w:tab w:val="num" w:pos="1134"/>
          <w:tab w:val="num" w:pos="1853"/>
        </w:tabs>
        <w:ind w:left="1134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8. ВЗАИМОДЕЙСТВИЕ 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С ОПЕРАТОРАМИ ЭЛЕКТРОННОГО ДОКУМЕНТООБОРОТА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8.1. До начала осуществления обмена электронными документами каждая из Сторон обязуется в установленном порядке обеспечить подключение к системе электронного документооборота Оператора ЭДО, в том числе заключить соответствующие договоры, оформить и представить Оператору ЭДО заявление об участии в электронном документообороте, а также получить у Оператора ЭДО идентификатор участника обмена, реквизиты доступа и другие необходимые данные, о чем уведомляет другую Сторону. В уведомлении указывается идентификатор участника обмена.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8.2. Последствия прекращения соответствия Оператора ЭДО </w:t>
      </w:r>
      <w:r>
        <w:rPr>
          <w:rFonts w:ascii="Garamond" w:hAnsi="Garamond"/>
          <w:bCs/>
          <w:iCs/>
          <w:sz w:val="22"/>
          <w:szCs w:val="22"/>
        </w:rPr>
        <w:t>требованиям</w:t>
      </w:r>
      <w:r>
        <w:rPr>
          <w:rFonts w:ascii="Garamond" w:hAnsi="Garamond"/>
          <w:bCs/>
          <w:iCs/>
          <w:color w:val="000000"/>
          <w:sz w:val="22"/>
          <w:szCs w:val="22"/>
        </w:rPr>
        <w:t>, утверждаемым федеральным органом исполнительной власти, уполномоченным осуществлять функции по контролю и надзору в сфере налогов и сборов, регулируются в рамках соответствующих договорных отношений между Сторонами настоящего Соглашения и Операторами ЭДО.</w:t>
      </w:r>
    </w:p>
    <w:p>
      <w:pPr>
        <w:widowControl w:val="0"/>
        <w:tabs>
          <w:tab w:val="num" w:pos="0"/>
        </w:tabs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8.3. В случае, если Сторона намеревается сменить Оператора ЭДО, услугами которого она пользуется в рамках настоящего Соглашения, такая Сторона обязана до начала обмена электронными документами посредством нового Оператора ЭДО предоставить другой Стороне документы и сведения, предусмотренные пунктами 8.1 настоящего Соглашения.</w:t>
      </w:r>
    </w:p>
    <w:p>
      <w:pPr>
        <w:widowControl w:val="0"/>
        <w:tabs>
          <w:tab w:val="num" w:pos="0"/>
        </w:tabs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tabs>
          <w:tab w:val="num" w:pos="0"/>
        </w:tabs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9. ПОРЯДОК ПРЕДОСТАВЛЕНИЯ 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(ВЫСТАВЛЕНИЯ, НАПРАВЛЕНИЯ, ПЕРЕДАЧИ, ПОДАЧИ) 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ОТДЕЛЬНЫХ ВИДОВ ДОКУМЕНТОВ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9.1. При выставлении и получении счетов-фактур в электронной форме Стороны руководствуются порядком, установленным компетентным государственным органом, а также форматом предоставления счета-фактуры в электронной форме, утвержденным федеральным органом исполнительной власти по контролю и надзору в области налогов и сборов. 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9.2. При составлении, подписании и направлении Сторонами друг другу актов сверки расчетов и/или первичных документов, Стороны руководствуются настоящим Соглашением, правилами электронного документооборота Оператора ЭДО, с которым у Стороны заключен соответствующий </w:t>
      </w:r>
      <w:r>
        <w:rPr>
          <w:rFonts w:ascii="Garamond" w:hAnsi="Garamond"/>
          <w:bCs/>
          <w:iCs/>
          <w:color w:val="000000"/>
          <w:sz w:val="22"/>
          <w:szCs w:val="22"/>
        </w:rPr>
        <w:lastRenderedPageBreak/>
        <w:t>договор.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9.3. Акты сверки расчетов и/или первичные документы направляются в сроки, установленные </w:t>
      </w:r>
      <w:r>
        <w:rPr>
          <w:rFonts w:ascii="Garamond" w:hAnsi="Garamond"/>
          <w:color w:val="000000"/>
          <w:sz w:val="22"/>
          <w:szCs w:val="22"/>
        </w:rPr>
        <w:t>действующим законодательством и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соответствующим договором, заключенным между Сторонами настоящего Соглашения, во исполнение обязательств по которому осуществляется обмен электронными документами.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9.4. Акты сверки расчетов и/или первичные документы считаются доставленными Стороне настоящего Соглашения при получении направляющей Стороной подтверждения о получении от Оператора ЭДО, с которым у получающей Стороны заключен соответствующий договор. 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9.5. Организация электронного документооборота между Сторонами настоящего Соглашения не лишает Стороны права выставления актов сверки расчетов и/или первичных документов и/или счетов-фактур на бумажном носителе в случаях, предусмотренных настоящим Соглашением и при условии направления уведомления о невозможности обмена документами в электронной форме в порядке, установленном пунктом 14.3 настоящего Соглашения, когда обязанность направления указанного уведомления предусмотрена настоящим Соглашением. В случае выставления направляющей Стороной и получения получающей Стороной документов на бумажном носителе их перевыставление в электронной форме не допускается.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tabs>
          <w:tab w:val="num" w:pos="720"/>
        </w:tabs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10. КОНФИДЕНЦИАЛЬНОСТЬ</w:t>
      </w:r>
    </w:p>
    <w:p>
      <w:pPr>
        <w:widowControl w:val="0"/>
        <w:tabs>
          <w:tab w:val="num" w:pos="720"/>
        </w:tabs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10.1. Информация и документы, обмен которыми осуществляется между Сторонами в целях исполнения настоящего Соглашения, передаются в зашифрованном или незашифрованном виде. Стороны обязуются обеспечивать конфиденциальность ключа электронной подписи, владельцем которого является уполномоченный представитель Стороны, незамедлительно информировать Оператора ЭДО и другую сторону о факте компрометации ключа электронной подписи в порядке, установленном пунктом 14.1 настоящего Соглашения, владельцем которого является уполномоченный представитель Стороны, и прекратить его использование.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10.2. Если имел место факт компрометации ключа электронной подписи, владельцем которого является уполномоченный представитель Направляющей Стороны, и Направляющая Сторона не уведомила об этом Получающую Сторону,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10.3. Сторона, нарушившая условия о конфиденциальности ключа электронной подписи, обязана возместить другой Стороне возникшие в результате такого нарушения убытки.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11. ОТВЕТСТВЕННОСТЬ СТОРОН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tabs>
          <w:tab w:val="num" w:pos="0"/>
        </w:tabs>
        <w:ind w:firstLine="709"/>
        <w:jc w:val="both"/>
        <w:rPr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11.1. Каждая из Сторон несет ответственность за неисполнение или ненадлежащее исполнение своих обязательств по настоящему Соглашению в соответствии с законодательством Российской Федерации.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11.2. Усиленная квалифицированная электронная подпись, которой подписан электронный документ, признается действительной до тех пор, пока решением суда не установлено иное.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12. ОБСТОЯТЕЛЬСТВА, ОСВОБОЖДАЮЩИЕ ОТ ОТВЕТСТВЕННОСТИ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12.1. Каждая из Сторон освобождается от ответственности за полное или частичное неисполнение обязательств по настоящему Соглашению, если такое неисполнение явилось результатом действия чрезвычайных и непредотвратимых при данных условиях обстоятельств (обстоятельств непреодолимой силы), возникших после заключения настоящего Соглашения. В случае наступления таких обстоятельств течение срока исполнения обязательств по настоящему Соглашению приостанавливается на время действия обстоятельств непреодолимой силы.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bookmarkStart w:id="3" w:name="_Ref40666627"/>
      <w:r>
        <w:rPr>
          <w:rFonts w:ascii="Garamond" w:hAnsi="Garamond"/>
          <w:bCs/>
          <w:iCs/>
          <w:color w:val="000000"/>
          <w:sz w:val="22"/>
          <w:szCs w:val="22"/>
        </w:rPr>
        <w:t xml:space="preserve">12.2. Сторона, затронутая обстоятельствами непреодолимой силы, обязана предпринять все возможные меры с целью максимально ограничить негативные последствия, вызванные указанными обстоятельствами и не позднее 3 (трех) рабочих дней со дня возникновения таких обстоятельств известить другие Стороны в порядке, установленном пунктом 14.1 настоящего Соглашения. </w:t>
      </w:r>
    </w:p>
    <w:bookmarkEnd w:id="3"/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12.3. Отсутствие уведомления или несвоевременное уведомление лишает Сторону, действия которой подпали под обстоятельства непреодолимой силы, права на освобождение от ответственности за неисполнение обязательств по настоящему Соглашению.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lastRenderedPageBreak/>
        <w:t>12.4. Каждая из Сторон освобождается от ответственности за нарушение своих обязательств по настоящему Соглашению, если в своих действиях (бездействии) она обоснованно полагалась на документы, переданные ей другой Стороной или компетентными государственными органами.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13. ПОРЯДОК РАЗРЕШЕНИЯ СПОРОВ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>13.1. В случае возникновения споров и разногласий между Сторонами в связи с использованием электронной подписи Стороны предпримут все меры для их разрешения путем переговоров.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>13.2. Споры и разногласия, вытекающие из настоящего Соглашения или в связи с ним, разрешаются путем переговоров, а в случае недостижения согласия – в Арбитражном суде города Москвы только после соблюдения претензионного порядка урегулирования споров, срок для ответа на Претензию составляет 10 (десять) рабочих дней с момента ее получения.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>13.3. Любой электронный документ, подписанный с применением усиленной квалифицированной электронной подписи одной или несколькими Сторонами Соглашения, может быть использован в качестве письменного доказательства в суде.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13.4. В качестве письменного доказательства в суд предоставляется копия подписанного c применением электронной подписи электронного документа на бумажном носителе, изготовленная в соответствии с требованиями, установленными в рамках соответствующих договорных отношений между Сторонами настоящего Соглашения и Операторами ЭДО.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13.5. При разрешении в претензионном порядке споров, связанных с оспариванием наличия и (или) подлинности электронной подписи, в обязательном порядке производится экспертиза, для осуществления которой привлекается аккредитованный удостоверяющий центр, изготовивший сертификат ключа подписи, с использованием которого была сформирована электронная подпись.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13.6. Экспертиза, указанная в пункте 13.5 настоящего Соглашения, проводится в порядке, установленном договорами, регулирующими отношения Сторон настоящего Соглашения с соответствующими аккредитованными удостоверяющими центрами.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14. СООБЩЕНИЯ И УВЕДОМЛЕНИЯ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bookmarkStart w:id="4" w:name="_Ref98822086"/>
      <w:bookmarkStart w:id="5" w:name="_Ref36441880"/>
      <w:bookmarkStart w:id="6" w:name="_Toc443367938"/>
      <w:bookmarkStart w:id="7" w:name="_Toc496492894"/>
      <w:r>
        <w:rPr>
          <w:rFonts w:ascii="Garamond" w:hAnsi="Garamond"/>
          <w:bCs/>
          <w:iCs/>
          <w:color w:val="000000"/>
          <w:sz w:val="22"/>
          <w:szCs w:val="22"/>
        </w:rPr>
        <w:t xml:space="preserve">14.1. В случаях, предусмотренных пунктами 10.1 и 12.2 настоящего Соглашения, Сторона, затронутая обстоятельствами непреодолимой силы, равно как и Сторона, обязанная уведомить другую Сторону о факте компрометации ключа электронной подписи, уведомляет об этом такую Сторону с использованием средств оперативной связи, указанных в Приложении № 2 к настоящему Соглашению, с доставкой оригинала на бумажном носителе курьером или письмом с уведомлением о вручении и описью вложения через государственную почту или организации, предоставляющие услуги экспресс-доставки отправлений. Такое уведомление должно быть подписано уполномоченным лицом и скреплено печатью соответствующей Стороны при ее наличии </w:t>
      </w:r>
      <w:r>
        <w:rPr>
          <w:rFonts w:ascii="Garamond" w:hAnsi="Garamond"/>
          <w:bCs/>
          <w:iCs/>
          <w:sz w:val="22"/>
          <w:szCs w:val="22"/>
        </w:rPr>
        <w:t>с приложением документов, подтверждающих полномочия лиц, подписавших соответствующее уведомление</w:t>
      </w:r>
      <w:r>
        <w:rPr>
          <w:rFonts w:ascii="Garamond" w:hAnsi="Garamond"/>
          <w:bCs/>
          <w:iCs/>
          <w:color w:val="000000"/>
          <w:sz w:val="22"/>
          <w:szCs w:val="22"/>
        </w:rPr>
        <w:t>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14.2. В случае, предусмотренном пунктом 3.9 настоящего Соглашения, документы направляются на бумажном носителе курьером или письмом с уведомлением о вручении и описью вложения через АО «Почта России» или организации предоставляющие услуги экспресс-доставки отправлений.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14.3. Сторона, обязанная направить другой Стороне информацию о невозможности обмена документами в электронной форме, подписанными усиленной квалифицированной электронной подписью, и о возобновлении электронного документооборота направляет другой Стороне соответствующее уведомление в произвольной форме с использованием средств оперативной связи, указанных в Приложении № 2 к настоящему Соглашению, а также по адресу, указанному в пункте 18 настоящего Соглашения.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14.4. Документы, сообщения и уведомления на бумажном носителе направляются по адресам, указанным в статье 18 настоящего Соглашения</w:t>
      </w:r>
      <w:bookmarkEnd w:id="4"/>
      <w:r>
        <w:rPr>
          <w:rFonts w:ascii="Garamond" w:hAnsi="Garamond"/>
          <w:bCs/>
          <w:iCs/>
          <w:color w:val="000000"/>
          <w:sz w:val="22"/>
          <w:szCs w:val="22"/>
        </w:rPr>
        <w:t>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14.5. Документы, сообщения и уведомления считаются полученными:</w:t>
      </w:r>
      <w:bookmarkEnd w:id="5"/>
    </w:p>
    <w:p>
      <w:pPr>
        <w:widowControl w:val="0"/>
        <w:numPr>
          <w:ilvl w:val="1"/>
          <w:numId w:val="4"/>
        </w:numPr>
        <w:tabs>
          <w:tab w:val="num" w:pos="0"/>
          <w:tab w:val="num" w:pos="1134"/>
        </w:tabs>
        <w:ind w:left="0"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при доставке курьером – в дату, указанную в отметке получившей Стороны на копии переданного курьером документа;</w:t>
      </w:r>
    </w:p>
    <w:p>
      <w:pPr>
        <w:widowControl w:val="0"/>
        <w:numPr>
          <w:ilvl w:val="1"/>
          <w:numId w:val="4"/>
        </w:numPr>
        <w:tabs>
          <w:tab w:val="num" w:pos="0"/>
          <w:tab w:val="num" w:pos="1134"/>
        </w:tabs>
        <w:ind w:left="0"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при отправке заказным письмом – в дату, указанную в уведомлении о вручении;</w:t>
      </w:r>
    </w:p>
    <w:p>
      <w:pPr>
        <w:widowControl w:val="0"/>
        <w:numPr>
          <w:ilvl w:val="1"/>
          <w:numId w:val="4"/>
        </w:numPr>
        <w:tabs>
          <w:tab w:val="num" w:pos="0"/>
          <w:tab w:val="num" w:pos="1134"/>
        </w:tabs>
        <w:ind w:left="0"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при направлении по факсу – в дату получения письменного подтверждения другой Стороны о доставке, которое также может быть отправлено по факсу.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14.6. Сообщения и уведомления на бумажном носителе, полученные после 17:00 по московскому времени в рабочий день, или полученные в день, не являющийся рабочим, считаются полученными в следующий рабочий день.</w:t>
      </w:r>
      <w:bookmarkEnd w:id="6"/>
      <w:bookmarkEnd w:id="7"/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14.7. Обмен документами, входящими в перечень, предусмотренный Приложением № 1 к </w:t>
      </w:r>
      <w:r>
        <w:rPr>
          <w:rFonts w:ascii="Garamond" w:hAnsi="Garamond"/>
          <w:bCs/>
          <w:iCs/>
          <w:color w:val="000000"/>
          <w:sz w:val="22"/>
          <w:szCs w:val="22"/>
        </w:rPr>
        <w:lastRenderedPageBreak/>
        <w:t>настоящему Соглашению, на бумажном носителе, направляемыми в соответствии с пунктами 8.3, 15.2, 16.2, 16.3 настоящего Соглашения, осуществляется в порядке, предусмотренном соответствующим договором, заключенным между Сторонами настоящего Соглашения, во исполнение обязательств по которому осуществляется обмен такими документами. Положения пунктов 14.4 – 14.6 на отношения, связанные с обменом Сторонами настоящего Соглашения такими документами, не распространяются.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14.8. Каждая из Сторон определяет из числа собственных сотрудников уполномоченных представителей, ответственных за взаимодействие с другой Стороной, и уведомляет об этом другую Сторону, направляя сообщения на адреса электронной почты, согласованные Сторонами путем подписания Перечня контактной информации по форме Приложения № 2 к настоящему Соглашению.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15. ДЕЙСТВИЕ, ИЗМЕНЕНИЕ И ПРЕКРАЩЕНИЕ СОГЛАШЕНИЯ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15.1. Присоединение к настоящему Соглашению осуществляется путем его подписания Сторонами.</w:t>
      </w:r>
    </w:p>
    <w:p>
      <w:pPr>
        <w:widowControl w:val="0"/>
        <w:tabs>
          <w:tab w:val="num" w:pos="0"/>
        </w:tabs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15.2 Настоящее Соглашение вступает в силу с момента его подписания Сторонами, действует без ограничения срока действия. Документы, указанные в Приложении № 1 к настоящему Соглашению, выставляются в электронном виде в отношении расчетных периодов, следующих за месяцем подписания настоящего Соглашения. За расчетный период, являющийся месяцем подписания настоящего Соглашения, Стороны осуществляют обмен документами, входящими в перечень, предусмотренный Приложением № 1 к настоящему Соглашению,  на бумажном носителе с подписанием их собственноручной подписью с соблюдением сроков и порядка направления документов на бумажном носителе, предусмотренных соответствующим договором, заключенным между Сторонами настоящего Соглашения, во исполнение обязательств по которому осуществляется обмен такими документами.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15.3. Действие настоящего Соглашения распространяется на правоотношения, возникшие как из договоров, заключенных между Сторонами до момента вступления в силу настоящего Соглашения, так и из договоров, которые будут заключены между Сторонами в будущем.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15.4. Действие настоящего Соглашения прекращается в следующих случаях:</w:t>
      </w:r>
    </w:p>
    <w:p>
      <w:pPr>
        <w:widowControl w:val="0"/>
        <w:numPr>
          <w:ilvl w:val="1"/>
          <w:numId w:val="4"/>
        </w:numPr>
        <w:tabs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по письменному соглашению Сторон, подписанному уполномоченными представителями Сторон;</w:t>
      </w:r>
    </w:p>
    <w:p>
      <w:pPr>
        <w:widowControl w:val="0"/>
        <w:numPr>
          <w:ilvl w:val="1"/>
          <w:numId w:val="4"/>
        </w:numPr>
        <w:tabs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в одностороннем внесудебном порядке по решению любой из Сторон настоящего Соглашения, при этом действие настоящего Соглашения прекращается по истечении 30 (тридцати) календарных дней с даты направления Стороной, принявшей решение о расторжении Соглашения в одностороннем внесудебном порядке, другой Стороне уведомления о его расторжении;</w:t>
      </w:r>
    </w:p>
    <w:p>
      <w:pPr>
        <w:widowControl w:val="0"/>
        <w:numPr>
          <w:ilvl w:val="1"/>
          <w:numId w:val="4"/>
        </w:numPr>
        <w:tabs>
          <w:tab w:val="num" w:pos="1134"/>
        </w:tabs>
        <w:ind w:left="1134" w:hanging="425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в иных случаях, предусмотренных законодательством Российской Федерации. 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15.5. Прекращение настоящего Соглашения не освобождает Стороны от исполнения обязательств, возникших до его прекращения, а также от ответственности за неисполнение (ненадлежащее исполнение) условий настоящего Соглашения.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16. ПРОЧИЕ УСЛОВИЯ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tabs>
          <w:tab w:val="num" w:pos="0"/>
        </w:tabs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16.1. Течение сроков по настоящему Соглашению определяется по московскому времени.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16.2. В случае если Направляющая Сторона не получила от Оператора ЭДО подтверждение до 17:30 следующего рабочего дня с момента отправки электронного документа,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копия документа направляется также по факсу или на адрес электронной почты, указанные в Приложении № 2 настоящего Соглашения.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16.3. В период действия обстоятельств, обусловленных невозможностью обмена документами в электронной форме, подписанными усиленной квалифицированной электронной подписью, в том числе в случае технического сбоя внутренних систем одной из Сторон Настоящего Соглашения, до момента возобновления электронного документооборота Стороны производят обмен документами на бумажном носителе с подписанием их собственноручной подписью с соблюдением сроков и порядка направления документов на бумажном носителе, предусмотренных соответствующим договором, заключенным между Сторонами настоящего Соглашения, во исполнение обязательств по которому осуществляется обмен такими документами.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16.4. В отношениях, не урегулированных настоящим Соглашением, Стороны руководствуются законодательством Российской Федерации.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bookmarkStart w:id="8" w:name="_Ref36441893"/>
      <w:r>
        <w:rPr>
          <w:rFonts w:ascii="Garamond" w:hAnsi="Garamond"/>
          <w:bCs/>
          <w:iCs/>
          <w:color w:val="000000"/>
          <w:sz w:val="22"/>
          <w:szCs w:val="22"/>
        </w:rPr>
        <w:lastRenderedPageBreak/>
        <w:t>16.5. В случае реорганизации одной из Сторон (слияние, разделение, присоединение или другие формы реорганизации) орган, принявший данное решение, обязан указать в своем решении правопреемника, к которому переходят права и обязанности по настоящему Соглашению. При этом реорганизованная Сторона обязана не позднее 7 (семи) рабочих дней с даты принятия данного решения уведомить другую Сторону о реорганизации.</w:t>
      </w:r>
      <w:bookmarkEnd w:id="8"/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16.6. Настоящее Соглашение составлено на русском языке в двух подлинных экземплярах, имеющих одинаковую юридическую силу, – по одному для каждой Стороны.</w:t>
      </w: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17. ПРИЛОЖЕНИЯ, 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ЯВЛЯЮЩИЕСЯ НЕОТЪЕМЛЕМОЙ ЧАСТЬЮ НАСТОЯЩЕГО СОГЛАШЕНИЯ</w:t>
      </w:r>
    </w:p>
    <w:p>
      <w:pPr>
        <w:widowControl w:val="0"/>
        <w:jc w:val="center"/>
        <w:rPr>
          <w:rFonts w:ascii="Garamond" w:hAnsi="Garamond"/>
          <w:b/>
          <w:color w:val="000000"/>
          <w:sz w:val="22"/>
          <w:szCs w:val="22"/>
        </w:rPr>
      </w:pPr>
    </w:p>
    <w:p>
      <w:pPr>
        <w:widowControl w:val="0"/>
        <w:tabs>
          <w:tab w:val="num" w:pos="1134"/>
          <w:tab w:val="num" w:pos="1853"/>
        </w:tabs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Приложение № 1. Перечень и форматы электронных документов;</w:t>
      </w:r>
    </w:p>
    <w:p>
      <w:pPr>
        <w:widowControl w:val="0"/>
        <w:tabs>
          <w:tab w:val="num" w:pos="1134"/>
          <w:tab w:val="num" w:pos="1853"/>
        </w:tabs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Приложение № 2. Перечень контактной информации;</w:t>
      </w:r>
    </w:p>
    <w:p>
      <w:pPr>
        <w:widowControl w:val="0"/>
        <w:tabs>
          <w:tab w:val="num" w:pos="1134"/>
          <w:tab w:val="num" w:pos="1853"/>
        </w:tabs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Приложение № 3. Уведомление о способе представления машиночитаемой доверенности.</w:t>
      </w:r>
    </w:p>
    <w:p>
      <w:pPr>
        <w:widowControl w:val="0"/>
        <w:tabs>
          <w:tab w:val="num" w:pos="1134"/>
          <w:tab w:val="num" w:pos="1853"/>
        </w:tabs>
        <w:ind w:firstLine="709"/>
        <w:jc w:val="both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spacing w:after="200" w:line="276" w:lineRule="auto"/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pStyle w:val="a6"/>
        <w:widowControl w:val="0"/>
        <w:numPr>
          <w:ilvl w:val="0"/>
          <w:numId w:val="40"/>
        </w:numPr>
        <w:spacing w:before="120" w:after="120" w:line="312" w:lineRule="auto"/>
        <w:jc w:val="center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АДРЕСА И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>
        <w:tc>
          <w:tcPr>
            <w:tcW w:w="4677" w:type="dxa"/>
          </w:tcPr>
          <w:p>
            <w:pPr>
              <w:rPr>
                <w:b/>
              </w:rPr>
            </w:pPr>
          </w:p>
        </w:tc>
        <w:tc>
          <w:tcPr>
            <w:tcW w:w="4678" w:type="dxa"/>
          </w:tcPr>
          <w:p>
            <w:pPr>
              <w:rPr>
                <w:b/>
              </w:rPr>
            </w:pPr>
            <w:bookmarkStart w:id="9" w:name="CustName2"/>
            <w:r>
              <w:rPr>
                <w:b/>
              </w:rPr>
              <w:t xml:space="preserve"> </w:t>
            </w:r>
            <w:bookmarkEnd w:id="9"/>
          </w:p>
        </w:tc>
      </w:tr>
      <w:tr>
        <w:tc>
          <w:tcPr>
            <w:tcW w:w="4677" w:type="dxa"/>
          </w:tcPr>
          <w:p>
            <w:r>
              <w:t xml:space="preserve">Адрес: </w:t>
            </w:r>
          </w:p>
          <w:p>
            <w:r>
              <w:t xml:space="preserve">ИНН:   </w:t>
            </w:r>
          </w:p>
          <w:p>
            <w:r>
              <w:t xml:space="preserve">КПП:   </w:t>
            </w:r>
          </w:p>
          <w:p>
            <w:r>
              <w:t xml:space="preserve">р/с:       </w:t>
            </w:r>
          </w:p>
          <w:p>
            <w:r>
              <w:t xml:space="preserve">в </w:t>
            </w:r>
          </w:p>
          <w:p>
            <w:r>
              <w:t xml:space="preserve">к/с:       </w:t>
            </w:r>
          </w:p>
          <w:p>
            <w:pPr>
              <w:rPr>
                <w:lang w:val="en-US"/>
              </w:rPr>
            </w:pPr>
            <w:r>
              <w:t xml:space="preserve">БИК:    </w:t>
            </w:r>
          </w:p>
        </w:tc>
        <w:tc>
          <w:tcPr>
            <w:tcW w:w="4678" w:type="dxa"/>
          </w:tcPr>
          <w:p>
            <w:r>
              <w:t xml:space="preserve">Адрес: </w:t>
            </w:r>
            <w:bookmarkStart w:id="10" w:name="CustAddress"/>
            <w:r>
              <w:t xml:space="preserve"> </w:t>
            </w:r>
            <w:bookmarkEnd w:id="10"/>
          </w:p>
          <w:p>
            <w:r>
              <w:t xml:space="preserve">ИНН:   </w:t>
            </w:r>
            <w:bookmarkStart w:id="11" w:name="CustINN"/>
            <w:r>
              <w:t xml:space="preserve"> </w:t>
            </w:r>
            <w:bookmarkEnd w:id="11"/>
          </w:p>
          <w:p>
            <w:r>
              <w:t xml:space="preserve">КПП:   </w:t>
            </w:r>
            <w:bookmarkStart w:id="12" w:name="CustKPP"/>
            <w:r>
              <w:t xml:space="preserve"> </w:t>
            </w:r>
            <w:bookmarkEnd w:id="12"/>
          </w:p>
          <w:p>
            <w:r>
              <w:t xml:space="preserve">р/с:       </w:t>
            </w:r>
            <w:bookmarkStart w:id="13" w:name="CustBankAccount"/>
            <w:r>
              <w:t xml:space="preserve"> </w:t>
            </w:r>
            <w:bookmarkEnd w:id="13"/>
          </w:p>
          <w:p>
            <w:r>
              <w:t xml:space="preserve">в </w:t>
            </w:r>
            <w:bookmarkStart w:id="14" w:name="CustBankName"/>
            <w:r>
              <w:t xml:space="preserve"> </w:t>
            </w:r>
            <w:bookmarkEnd w:id="14"/>
            <w:r>
              <w:t xml:space="preserve">, </w:t>
            </w:r>
            <w:bookmarkStart w:id="15" w:name="CustBankTown"/>
            <w:r>
              <w:t xml:space="preserve"> </w:t>
            </w:r>
            <w:bookmarkEnd w:id="15"/>
          </w:p>
          <w:p>
            <w:r>
              <w:t xml:space="preserve">к/с:       </w:t>
            </w:r>
            <w:bookmarkStart w:id="16" w:name="CustCorrAcc"/>
            <w:r>
              <w:t xml:space="preserve"> </w:t>
            </w:r>
            <w:bookmarkEnd w:id="16"/>
          </w:p>
          <w:p>
            <w:r>
              <w:t xml:space="preserve">БИК:    </w:t>
            </w:r>
            <w:bookmarkStart w:id="17" w:name="CustBIK"/>
            <w:r>
              <w:t xml:space="preserve"> </w:t>
            </w:r>
            <w:bookmarkEnd w:id="17"/>
          </w:p>
        </w:tc>
      </w:tr>
      <w:tr>
        <w:tc>
          <w:tcPr>
            <w:tcW w:w="4677" w:type="dxa"/>
          </w:tcPr>
          <w:p>
            <w:pPr>
              <w:pBdr>
                <w:bottom w:val="single" w:sz="12" w:space="1" w:color="auto"/>
              </w:pBdr>
            </w:pPr>
          </w:p>
          <w:p>
            <w:pPr>
              <w:pBdr>
                <w:bottom w:val="single" w:sz="12" w:space="1" w:color="auto"/>
              </w:pBdr>
            </w:pPr>
          </w:p>
          <w:p>
            <w:pPr>
              <w:tabs>
                <w:tab w:val="center" w:pos="2268"/>
              </w:tabs>
            </w:pPr>
            <w:r>
              <w:tab/>
              <w:t>М. П.</w:t>
            </w:r>
          </w:p>
          <w:p>
            <w:pPr>
              <w:tabs>
                <w:tab w:val="center" w:pos="2268"/>
              </w:tabs>
            </w:pPr>
          </w:p>
          <w:p>
            <w:pPr>
              <w:tabs>
                <w:tab w:val="center" w:pos="2268"/>
              </w:tabs>
            </w:pPr>
          </w:p>
          <w:p>
            <w:pPr>
              <w:tabs>
                <w:tab w:val="center" w:pos="2268"/>
              </w:tabs>
            </w:pPr>
            <w:r>
              <w:t>«___»______________ 20___г.</w:t>
            </w:r>
          </w:p>
        </w:tc>
        <w:tc>
          <w:tcPr>
            <w:tcW w:w="4678" w:type="dxa"/>
          </w:tcPr>
          <w:p>
            <w:pPr>
              <w:pBdr>
                <w:bottom w:val="single" w:sz="12" w:space="1" w:color="auto"/>
              </w:pBdr>
            </w:pPr>
          </w:p>
          <w:p>
            <w:pPr>
              <w:pBdr>
                <w:bottom w:val="single" w:sz="12" w:space="1" w:color="auto"/>
              </w:pBdr>
            </w:pPr>
          </w:p>
          <w:p>
            <w:pPr>
              <w:tabs>
                <w:tab w:val="center" w:pos="2268"/>
              </w:tabs>
            </w:pPr>
            <w:r>
              <w:tab/>
              <w:t>М. П.</w:t>
            </w:r>
          </w:p>
          <w:p>
            <w:pPr>
              <w:tabs>
                <w:tab w:val="center" w:pos="2268"/>
              </w:tabs>
            </w:pPr>
          </w:p>
          <w:p>
            <w:pPr>
              <w:tabs>
                <w:tab w:val="center" w:pos="2268"/>
              </w:tabs>
            </w:pPr>
          </w:p>
          <w:p>
            <w:pPr>
              <w:tabs>
                <w:tab w:val="center" w:pos="2268"/>
              </w:tabs>
              <w:jc w:val="both"/>
            </w:pPr>
            <w:r>
              <w:t>«___»______________ 20___г.</w:t>
            </w:r>
          </w:p>
        </w:tc>
      </w:tr>
    </w:tbl>
    <w:p>
      <w:pPr>
        <w:widowControl w:val="0"/>
        <w:spacing w:line="288" w:lineRule="auto"/>
        <w:jc w:val="right"/>
        <w:rPr>
          <w:rFonts w:ascii="Garamond" w:hAnsi="Garamond"/>
          <w:b/>
        </w:rPr>
      </w:pPr>
      <w:r>
        <w:br w:type="page"/>
      </w:r>
      <w:r>
        <w:rPr>
          <w:rFonts w:ascii="Garamond" w:hAnsi="Garamond"/>
          <w:b/>
        </w:rPr>
        <w:lastRenderedPageBreak/>
        <w:t xml:space="preserve">Приложение № 1 </w:t>
      </w:r>
    </w:p>
    <w:p>
      <w:pPr>
        <w:widowControl w:val="0"/>
        <w:spacing w:line="288" w:lineRule="auto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к Соглашению об обмене документами в электронной форме через операторов электронного документооборота</w:t>
      </w:r>
    </w:p>
    <w:p>
      <w:pPr>
        <w:jc w:val="right"/>
        <w:rPr>
          <w:rFonts w:ascii="Garamond" w:hAnsi="Garamond"/>
          <w:b/>
        </w:rPr>
      </w:pPr>
    </w:p>
    <w:p>
      <w:pPr>
        <w:spacing w:before="240" w:after="240"/>
        <w:jc w:val="center"/>
        <w:rPr>
          <w:rFonts w:ascii="Garamond" w:eastAsia="Arial Unicode MS" w:hAnsi="Garamond"/>
          <w:b/>
          <w:bCs/>
          <w:color w:val="000000"/>
          <w:sz w:val="22"/>
          <w:szCs w:val="14"/>
        </w:rPr>
      </w:pPr>
      <w:r>
        <w:rPr>
          <w:rFonts w:ascii="Garamond" w:eastAsia="Arial Unicode MS" w:hAnsi="Garamond"/>
          <w:b/>
          <w:bCs/>
          <w:color w:val="000000"/>
          <w:sz w:val="22"/>
          <w:szCs w:val="14"/>
        </w:rPr>
        <w:t>Перечень и форматы электронных документов</w:t>
      </w:r>
    </w:p>
    <w:p>
      <w:pPr>
        <w:pStyle w:val="txt"/>
        <w:spacing w:before="0" w:beforeAutospacing="0" w:after="0" w:afterAutospacing="0"/>
        <w:jc w:val="both"/>
        <w:rPr>
          <w:rFonts w:ascii="Garamond" w:hAnsi="Garamond" w:cs="Garamond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371"/>
        <w:gridCol w:w="2410"/>
        <w:gridCol w:w="3260"/>
      </w:tblGrid>
      <w:tr>
        <w:tc>
          <w:tcPr>
            <w:tcW w:w="593" w:type="dxa"/>
            <w:shd w:val="clear" w:color="auto" w:fill="auto"/>
            <w:vAlign w:val="center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371" w:type="dxa"/>
            <w:shd w:val="clear" w:color="auto" w:fill="auto"/>
            <w:vAlign w:val="center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Наименование электронного документа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Формат электронного документа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Источник формата</w:t>
            </w:r>
          </w:p>
        </w:tc>
      </w:tr>
      <w:tr>
        <w:tc>
          <w:tcPr>
            <w:tcW w:w="593" w:type="dxa"/>
            <w:shd w:val="clear" w:color="auto" w:fill="auto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1.</w:t>
            </w:r>
          </w:p>
        </w:tc>
        <w:tc>
          <w:tcPr>
            <w:tcW w:w="3371" w:type="dxa"/>
            <w:shd w:val="clear" w:color="auto" w:fill="auto"/>
          </w:tcPr>
          <w:p>
            <w:pPr>
              <w:pStyle w:val="txt"/>
              <w:spacing w:before="0" w:beforeAutospacing="0" w:after="0" w:afterAutospacing="0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Счет</w:t>
            </w:r>
          </w:p>
        </w:tc>
        <w:tc>
          <w:tcPr>
            <w:tcW w:w="2410" w:type="dxa"/>
            <w:shd w:val="clear" w:color="auto" w:fill="auto"/>
          </w:tcPr>
          <w:p>
            <w:pPr>
              <w:pStyle w:val="11"/>
              <w:ind w:left="0"/>
              <w:jc w:val="center"/>
              <w:rPr>
                <w:rFonts w:ascii="Garamond" w:eastAsia="Arial Unicode MS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Arial Unicode MS" w:hAnsi="Garamond" w:cs="Garamond"/>
                <w:color w:val="000000"/>
                <w:sz w:val="22"/>
                <w:szCs w:val="22"/>
              </w:rPr>
              <w:t>PDF</w:t>
            </w:r>
          </w:p>
        </w:tc>
        <w:tc>
          <w:tcPr>
            <w:tcW w:w="3260" w:type="dxa"/>
            <w:shd w:val="clear" w:color="auto" w:fill="auto"/>
          </w:tcPr>
          <w:p>
            <w:pPr>
              <w:pStyle w:val="tx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-</w:t>
            </w:r>
          </w:p>
        </w:tc>
      </w:tr>
      <w:tr>
        <w:tc>
          <w:tcPr>
            <w:tcW w:w="593" w:type="dxa"/>
            <w:shd w:val="clear" w:color="auto" w:fill="auto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2.</w:t>
            </w:r>
          </w:p>
        </w:tc>
        <w:tc>
          <w:tcPr>
            <w:tcW w:w="3371" w:type="dxa"/>
            <w:shd w:val="clear" w:color="auto" w:fill="auto"/>
          </w:tcPr>
          <w:p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Универсальный передаточный документ, Акт об оказании услуги, Акт о выполненных работах, Товарная накладная, Счет-фактура </w:t>
            </w:r>
          </w:p>
        </w:tc>
        <w:tc>
          <w:tcPr>
            <w:tcW w:w="2410" w:type="dxa"/>
            <w:shd w:val="clear" w:color="auto" w:fill="auto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XML</w:t>
            </w:r>
          </w:p>
          <w:p>
            <w:pPr>
              <w:pStyle w:val="11"/>
              <w:ind w:left="0"/>
              <w:rPr>
                <w:rFonts w:ascii="Garamond" w:eastAsia="Arial Unicode MS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>
            <w:pPr>
              <w:pStyle w:val="tx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eastAsia="Calibri" w:hAnsi="Garamond" w:cs="Garamond"/>
                <w:sz w:val="22"/>
                <w:szCs w:val="22"/>
              </w:rPr>
              <w:t>Приказ ФНС России от 19.12.2023 N ЕД-7-26/970@</w:t>
            </w:r>
          </w:p>
        </w:tc>
      </w:tr>
      <w:tr>
        <w:tc>
          <w:tcPr>
            <w:tcW w:w="593" w:type="dxa"/>
            <w:shd w:val="clear" w:color="auto" w:fill="auto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3.</w:t>
            </w:r>
          </w:p>
        </w:tc>
        <w:tc>
          <w:tcPr>
            <w:tcW w:w="3371" w:type="dxa"/>
            <w:shd w:val="clear" w:color="auto" w:fill="auto"/>
          </w:tcPr>
          <w:p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Корректировочные:</w:t>
            </w:r>
          </w:p>
          <w:p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Универсальный передаточный документ, Акт об оказании услуги, Акт о выполненных работах, Товарная накладная, Счет-фактура </w:t>
            </w:r>
          </w:p>
        </w:tc>
        <w:tc>
          <w:tcPr>
            <w:tcW w:w="2410" w:type="dxa"/>
            <w:shd w:val="clear" w:color="auto" w:fill="auto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XML</w:t>
            </w:r>
          </w:p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>
            <w:pPr>
              <w:spacing w:after="200"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Приказ ФНС России от 12.10.2020 N ЕД-7-26/736@)</w:t>
            </w:r>
          </w:p>
          <w:p>
            <w:pPr>
              <w:pStyle w:val="txt"/>
              <w:rPr>
                <w:rFonts w:ascii="Garamond" w:hAnsi="Garamond" w:cs="Garamond"/>
                <w:sz w:val="22"/>
                <w:szCs w:val="22"/>
              </w:rPr>
            </w:pPr>
          </w:p>
        </w:tc>
      </w:tr>
      <w:tr>
        <w:tc>
          <w:tcPr>
            <w:tcW w:w="593" w:type="dxa"/>
            <w:shd w:val="clear" w:color="auto" w:fill="auto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4.</w:t>
            </w:r>
          </w:p>
        </w:tc>
        <w:tc>
          <w:tcPr>
            <w:tcW w:w="3371" w:type="dxa"/>
            <w:shd w:val="clear" w:color="auto" w:fill="auto"/>
          </w:tcPr>
          <w:p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Товарная накладная </w:t>
            </w:r>
          </w:p>
        </w:tc>
        <w:tc>
          <w:tcPr>
            <w:tcW w:w="2410" w:type="dxa"/>
            <w:shd w:val="clear" w:color="auto" w:fill="auto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XML</w:t>
            </w:r>
          </w:p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>
            <w:pPr>
              <w:pStyle w:val="tx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eastAsia="Calibri" w:hAnsi="Garamond" w:cs="Garamond"/>
                <w:sz w:val="22"/>
                <w:szCs w:val="22"/>
              </w:rPr>
              <w:t>Приказ ФНС России от 30.11.2015 N ММВ-7-10/551@</w:t>
            </w:r>
          </w:p>
        </w:tc>
      </w:tr>
      <w:tr>
        <w:tc>
          <w:tcPr>
            <w:tcW w:w="593" w:type="dxa"/>
            <w:shd w:val="clear" w:color="auto" w:fill="auto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5.</w:t>
            </w:r>
          </w:p>
        </w:tc>
        <w:tc>
          <w:tcPr>
            <w:tcW w:w="3371" w:type="dxa"/>
            <w:shd w:val="clear" w:color="auto" w:fill="auto"/>
          </w:tcPr>
          <w:p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Акт об оказании услуги, Акт о выполненных работах </w:t>
            </w:r>
          </w:p>
        </w:tc>
        <w:tc>
          <w:tcPr>
            <w:tcW w:w="2410" w:type="dxa"/>
            <w:shd w:val="clear" w:color="auto" w:fill="auto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XML</w:t>
            </w:r>
          </w:p>
        </w:tc>
        <w:tc>
          <w:tcPr>
            <w:tcW w:w="3260" w:type="dxa"/>
            <w:shd w:val="clear" w:color="auto" w:fill="auto"/>
          </w:tcPr>
          <w:p>
            <w:pPr>
              <w:pStyle w:val="txt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eastAsia="Calibri" w:hAnsi="Garamond" w:cs="Garamond"/>
                <w:sz w:val="22"/>
                <w:szCs w:val="22"/>
              </w:rPr>
              <w:t>Приказ ФНС России от 30.11.2015 N ММВ-7-10/552@</w:t>
            </w:r>
          </w:p>
        </w:tc>
      </w:tr>
      <w:tr>
        <w:tc>
          <w:tcPr>
            <w:tcW w:w="593" w:type="dxa"/>
            <w:vMerge w:val="restart"/>
            <w:shd w:val="clear" w:color="auto" w:fill="auto"/>
          </w:tcPr>
          <w:p>
            <w:pPr>
              <w:pStyle w:val="txt"/>
              <w:spacing w:before="0" w:after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6.</w:t>
            </w:r>
          </w:p>
        </w:tc>
        <w:tc>
          <w:tcPr>
            <w:tcW w:w="3371" w:type="dxa"/>
            <w:vMerge w:val="restart"/>
            <w:shd w:val="clear" w:color="auto" w:fill="auto"/>
          </w:tcPr>
          <w:p>
            <w:pPr>
              <w:rPr>
                <w:rFonts w:ascii="Garamond" w:hAnsi="Garamond"/>
                <w:color w:val="1F497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Акт сверки расчетов</w:t>
            </w:r>
          </w:p>
          <w:p>
            <w:pPr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PDF</w:t>
            </w:r>
          </w:p>
        </w:tc>
        <w:tc>
          <w:tcPr>
            <w:tcW w:w="3260" w:type="dxa"/>
            <w:shd w:val="clear" w:color="auto" w:fill="auto"/>
          </w:tcPr>
          <w:p>
            <w:pPr>
              <w:pStyle w:val="txt"/>
              <w:rPr>
                <w:rFonts w:ascii="Garamond" w:eastAsia="Calibri" w:hAnsi="Garamond" w:cs="Garamond"/>
                <w:sz w:val="22"/>
                <w:szCs w:val="22"/>
              </w:rPr>
            </w:pPr>
            <w:r>
              <w:rPr>
                <w:rFonts w:ascii="Garamond" w:eastAsia="Calibri" w:hAnsi="Garamond" w:cs="Garamond"/>
                <w:sz w:val="22"/>
                <w:szCs w:val="22"/>
              </w:rPr>
              <w:t>-</w:t>
            </w:r>
          </w:p>
        </w:tc>
      </w:tr>
      <w:tr>
        <w:tc>
          <w:tcPr>
            <w:tcW w:w="593" w:type="dxa"/>
            <w:vMerge/>
            <w:shd w:val="clear" w:color="auto" w:fill="auto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3371" w:type="dxa"/>
            <w:vMerge/>
            <w:shd w:val="clear" w:color="auto" w:fill="auto"/>
          </w:tcPr>
          <w:p>
            <w:pPr>
              <w:rPr>
                <w:rFonts w:ascii="Garamond" w:hAnsi="Garamond" w:cs="Garamond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pStyle w:val="txt"/>
              <w:spacing w:before="0" w:beforeAutospacing="0" w:after="0" w:afterAutospacing="0" w:line="256" w:lineRule="auto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sz w:val="22"/>
                <w:szCs w:val="22"/>
                <w:lang w:eastAsia="en-US"/>
              </w:rPr>
              <w:t>XML</w:t>
            </w:r>
          </w:p>
        </w:tc>
        <w:tc>
          <w:tcPr>
            <w:tcW w:w="3260" w:type="dxa"/>
            <w:shd w:val="clear" w:color="auto" w:fill="auto"/>
          </w:tcPr>
          <w:p>
            <w:pPr>
              <w:pStyle w:val="txt"/>
              <w:spacing w:line="256" w:lineRule="auto"/>
              <w:rPr>
                <w:rFonts w:ascii="Garamond" w:eastAsia="Calibri" w:hAnsi="Garamond" w:cs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 w:cs="Garamond"/>
                <w:sz w:val="22"/>
                <w:szCs w:val="22"/>
                <w:lang w:eastAsia="en-US"/>
              </w:rPr>
              <w:t>Приказ ФНС России от 13.05.2022 N ЕД-7-26/405@</w:t>
            </w:r>
          </w:p>
        </w:tc>
      </w:tr>
    </w:tbl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</w:t>
      </w: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Приложение № 2 </w:t>
      </w:r>
    </w:p>
    <w:p>
      <w:pPr>
        <w:widowControl w:val="0"/>
        <w:spacing w:line="288" w:lineRule="auto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к Соглашению об обмене документами в электронной форме через операторов электронного документооборота</w:t>
      </w:r>
    </w:p>
    <w:p>
      <w:pPr>
        <w:jc w:val="right"/>
        <w:rPr>
          <w:rFonts w:ascii="Garamond" w:hAnsi="Garamond"/>
          <w:b/>
        </w:rPr>
      </w:pPr>
    </w:p>
    <w:p>
      <w:pPr>
        <w:spacing w:before="240" w:after="240"/>
        <w:jc w:val="center"/>
        <w:rPr>
          <w:rFonts w:ascii="Garamond" w:eastAsia="Arial Unicode MS" w:hAnsi="Garamond"/>
          <w:b/>
          <w:bCs/>
          <w:color w:val="000000"/>
          <w:sz w:val="22"/>
          <w:szCs w:val="14"/>
        </w:rPr>
      </w:pPr>
      <w:r>
        <w:rPr>
          <w:rFonts w:ascii="Garamond" w:eastAsia="Arial Unicode MS" w:hAnsi="Garamond"/>
          <w:b/>
          <w:bCs/>
          <w:color w:val="000000"/>
          <w:sz w:val="22"/>
          <w:szCs w:val="14"/>
        </w:rPr>
        <w:t>Перечень контактной информации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593"/>
        <w:gridCol w:w="2096"/>
        <w:gridCol w:w="3543"/>
        <w:gridCol w:w="3261"/>
      </w:tblGrid>
      <w:tr>
        <w:tc>
          <w:tcPr>
            <w:tcW w:w="593" w:type="dxa"/>
            <w:vAlign w:val="center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№ п/п</w:t>
            </w:r>
          </w:p>
        </w:tc>
        <w:tc>
          <w:tcPr>
            <w:tcW w:w="2096" w:type="dxa"/>
            <w:vAlign w:val="center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3543" w:type="dxa"/>
            <w:vAlign w:val="center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Сторона 1</w:t>
            </w:r>
          </w:p>
        </w:tc>
        <w:tc>
          <w:tcPr>
            <w:tcW w:w="3261" w:type="dxa"/>
            <w:vAlign w:val="center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Сторона 2</w:t>
            </w:r>
          </w:p>
        </w:tc>
      </w:tr>
      <w:tr>
        <w:trPr>
          <w:trHeight w:val="78"/>
        </w:trPr>
        <w:tc>
          <w:tcPr>
            <w:tcW w:w="593" w:type="dxa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1.</w:t>
            </w:r>
          </w:p>
        </w:tc>
        <w:tc>
          <w:tcPr>
            <w:tcW w:w="2096" w:type="dxa"/>
          </w:tcPr>
          <w:p>
            <w:pPr>
              <w:pStyle w:val="txt"/>
              <w:spacing w:before="0" w:beforeAutospacing="0" w:after="0" w:afterAutospacing="0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Телефон</w:t>
            </w:r>
          </w:p>
        </w:tc>
        <w:tc>
          <w:tcPr>
            <w:tcW w:w="3543" w:type="dxa"/>
          </w:tcPr>
          <w:p>
            <w:pPr>
              <w:pStyle w:val="txt"/>
              <w:spacing w:before="0" w:beforeAutospacing="0" w:after="0" w:afterAutospacing="0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>
        <w:tc>
          <w:tcPr>
            <w:tcW w:w="593" w:type="dxa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2.</w:t>
            </w:r>
          </w:p>
        </w:tc>
        <w:tc>
          <w:tcPr>
            <w:tcW w:w="2096" w:type="dxa"/>
          </w:tcPr>
          <w:p>
            <w:pPr>
              <w:pStyle w:val="txt"/>
              <w:spacing w:before="0" w:beforeAutospacing="0" w:after="0" w:afterAutospacing="0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Факс</w:t>
            </w:r>
          </w:p>
        </w:tc>
        <w:tc>
          <w:tcPr>
            <w:tcW w:w="3543" w:type="dxa"/>
          </w:tcPr>
          <w:p>
            <w:pPr>
              <w:pStyle w:val="txt"/>
              <w:spacing w:before="0" w:beforeAutospacing="0" w:after="0" w:afterAutospacing="0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>
        <w:tc>
          <w:tcPr>
            <w:tcW w:w="593" w:type="dxa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3.</w:t>
            </w:r>
          </w:p>
        </w:tc>
        <w:tc>
          <w:tcPr>
            <w:tcW w:w="2096" w:type="dxa"/>
          </w:tcPr>
          <w:p>
            <w:pPr>
              <w:pStyle w:val="txt"/>
              <w:spacing w:before="0" w:beforeAutospacing="0" w:after="0" w:afterAutospacing="0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543" w:type="dxa"/>
          </w:tcPr>
          <w:p>
            <w:pPr>
              <w:pStyle w:val="txt"/>
              <w:spacing w:before="0" w:beforeAutospacing="0" w:after="0" w:afterAutospacing="0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txt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>
        <w:tc>
          <w:tcPr>
            <w:tcW w:w="593" w:type="dxa"/>
          </w:tcPr>
          <w:p>
            <w:pPr>
              <w:pStyle w:val="txt"/>
              <w:spacing w:before="0" w:beforeAutospacing="0" w:after="0" w:afterAutospacing="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4.</w:t>
            </w:r>
          </w:p>
        </w:tc>
        <w:tc>
          <w:tcPr>
            <w:tcW w:w="2096" w:type="dxa"/>
          </w:tcPr>
          <w:p>
            <w:pPr>
              <w:pStyle w:val="txt"/>
              <w:spacing w:before="0" w:beforeAutospacing="0" w:after="0" w:afterAutospacing="0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Контактное лицо</w:t>
            </w:r>
          </w:p>
        </w:tc>
        <w:tc>
          <w:tcPr>
            <w:tcW w:w="3543" w:type="dxa"/>
          </w:tcPr>
          <w:p>
            <w:pPr>
              <w:pStyle w:val="txt"/>
              <w:spacing w:before="0" w:beforeAutospacing="0" w:after="0" w:afterAutospacing="0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vAlign w:val="center"/>
          </w:tcPr>
          <w:p>
            <w:pPr>
              <w:pStyle w:val="txt"/>
              <w:spacing w:before="0" w:beforeAutospacing="0" w:after="0" w:afterAutospacing="0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</w:tbl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br/>
      </w: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br/>
      </w: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  <w:rPr>
          <w:rFonts w:ascii="Garamond" w:hAnsi="Garamond" w:cs="Garamond"/>
          <w:sz w:val="22"/>
          <w:szCs w:val="22"/>
        </w:rPr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widowControl w:val="0"/>
        <w:spacing w:line="288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Приложение № 3 </w:t>
      </w:r>
    </w:p>
    <w:p>
      <w:pPr>
        <w:widowControl w:val="0"/>
        <w:spacing w:line="288" w:lineRule="auto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к Соглашению об обмене документами в электронной форме через операторов электронного документооборота</w:t>
      </w:r>
    </w:p>
    <w:p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(Форма)</w:t>
      </w:r>
    </w:p>
    <w:p>
      <w:pPr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rPr>
          <w:rFonts w:ascii="Garamond" w:hAnsi="Garamond"/>
          <w:bCs/>
          <w:iCs/>
          <w:color w:val="000000"/>
          <w:sz w:val="22"/>
          <w:szCs w:val="22"/>
        </w:rPr>
      </w:pPr>
    </w:p>
    <w:p>
      <w:pPr>
        <w:ind w:firstLine="284"/>
        <w:jc w:val="center"/>
        <w:rPr>
          <w:rFonts w:ascii="Garamond" w:eastAsia="Arial Unicode MS" w:hAnsi="Garamond"/>
          <w:b/>
          <w:bCs/>
          <w:color w:val="000000"/>
          <w:szCs w:val="14"/>
        </w:rPr>
      </w:pPr>
      <w:r>
        <w:rPr>
          <w:rFonts w:ascii="Garamond" w:eastAsia="Arial Unicode MS" w:hAnsi="Garamond"/>
          <w:b/>
          <w:bCs/>
          <w:color w:val="000000"/>
          <w:szCs w:val="14"/>
        </w:rPr>
        <w:t>Уведомление о способе представления машиночитаемой доверенности</w:t>
      </w:r>
    </w:p>
    <w:p>
      <w:pPr>
        <w:spacing w:after="200" w:line="276" w:lineRule="auto"/>
        <w:rPr>
          <w:rFonts w:ascii="Garamond" w:eastAsia="Arial Unicode MS" w:hAnsi="Garamond"/>
          <w:b/>
          <w:bCs/>
          <w:color w:val="000000"/>
          <w:szCs w:val="14"/>
        </w:rPr>
      </w:pPr>
    </w:p>
    <w:p>
      <w:pPr>
        <w:spacing w:after="200" w:line="276" w:lineRule="auto"/>
        <w:ind w:left="-142" w:right="-143" w:firstLine="709"/>
        <w:jc w:val="both"/>
        <w:rPr>
          <w:rFonts w:ascii="Garamond" w:eastAsia="Arial Unicode MS" w:hAnsi="Garamond"/>
          <w:bCs/>
          <w:color w:val="000000"/>
          <w:sz w:val="22"/>
          <w:szCs w:val="22"/>
        </w:rPr>
      </w:pPr>
      <w:r>
        <w:rPr>
          <w:rFonts w:ascii="Garamond" w:eastAsia="Arial Unicode MS" w:hAnsi="Garamond"/>
          <w:bCs/>
          <w:color w:val="000000"/>
          <w:szCs w:val="14"/>
        </w:rPr>
        <w:t xml:space="preserve"> </w:t>
      </w:r>
      <w:r>
        <w:rPr>
          <w:rFonts w:ascii="Garamond" w:eastAsiaTheme="minorHAnsi" w:hAnsi="Garamond" w:cs="Garamond"/>
          <w:sz w:val="22"/>
          <w:szCs w:val="22"/>
          <w:lang w:eastAsia="en-US"/>
        </w:rPr>
        <w:t>В соответствии с пунктом 4.2 Соглашения об обмене документами в электронной форме через операторов ЭДО № _____ от «   »        20    года информируем Вас о способе представления машиночитаемой доверенности (однократно переданной в соответствующую информационную систему):</w:t>
      </w:r>
    </w:p>
    <w:tbl>
      <w:tblPr>
        <w:tblStyle w:val="a7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417"/>
        <w:gridCol w:w="1559"/>
      </w:tblGrid>
      <w:tr>
        <w:tc>
          <w:tcPr>
            <w:tcW w:w="568" w:type="dxa"/>
          </w:tcPr>
          <w:p>
            <w:pPr>
              <w:spacing w:after="200" w:line="276" w:lineRule="auto"/>
              <w:ind w:right="1240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№</w:t>
            </w:r>
          </w:p>
        </w:tc>
        <w:tc>
          <w:tcPr>
            <w:tcW w:w="6237" w:type="dxa"/>
          </w:tcPr>
          <w:p>
            <w:pPr>
              <w:spacing w:after="200"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Способ представления</w:t>
            </w:r>
          </w:p>
        </w:tc>
        <w:tc>
          <w:tcPr>
            <w:tcW w:w="1417" w:type="dxa"/>
          </w:tcPr>
          <w:p>
            <w:pPr>
              <w:spacing w:after="200"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Отметка о выбранном способе</w:t>
            </w:r>
          </w:p>
        </w:tc>
        <w:tc>
          <w:tcPr>
            <w:tcW w:w="1559" w:type="dxa"/>
          </w:tcPr>
          <w:p>
            <w:pPr>
              <w:spacing w:after="200"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Пояснения к выбранному способу* </w:t>
            </w:r>
          </w:p>
        </w:tc>
      </w:tr>
      <w:tr>
        <w:trPr>
          <w:trHeight w:val="603"/>
        </w:trPr>
        <w:tc>
          <w:tcPr>
            <w:tcW w:w="568" w:type="dxa"/>
          </w:tcPr>
          <w:p>
            <w:pPr>
              <w:spacing w:after="200" w:line="276" w:lineRule="auto"/>
              <w:jc w:val="center"/>
              <w:rPr>
                <w:rFonts w:ascii="Garamond" w:hAnsi="Garamond" w:cs="Garamond"/>
                <w:sz w:val="22"/>
                <w:szCs w:val="22"/>
                <w:lang w:val="en-US"/>
              </w:rPr>
            </w:pPr>
            <w:r>
              <w:rPr>
                <w:rFonts w:ascii="Garamond" w:hAnsi="Garamond" w:cs="Garamond"/>
                <w:sz w:val="22"/>
                <w:szCs w:val="22"/>
                <w:lang w:val="en-US"/>
              </w:rPr>
              <w:t>1</w:t>
            </w:r>
          </w:p>
        </w:tc>
        <w:tc>
          <w:tcPr>
            <w:tcW w:w="6237" w:type="dxa"/>
          </w:tcPr>
          <w:p>
            <w:pPr>
              <w:pStyle w:val="ConsPlusNormal"/>
              <w:spacing w:before="200"/>
              <w:ind w:firstLine="540"/>
              <w:jc w:val="both"/>
            </w:pPr>
            <w:r>
              <w:t>из информационной системы аккредитованного удостоверяющего центра;</w:t>
            </w:r>
          </w:p>
        </w:tc>
        <w:tc>
          <w:tcPr>
            <w:tcW w:w="1417" w:type="dxa"/>
          </w:tcPr>
          <w:p>
            <w:pPr>
              <w:spacing w:after="200" w:line="276" w:lineRule="auto"/>
              <w:rPr>
                <w:rFonts w:ascii="Garamond" w:hAnsi="Garamond" w:cs="Garamond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after="200" w:line="276" w:lineRule="auto"/>
              <w:rPr>
                <w:rFonts w:ascii="Garamond" w:hAnsi="Garamond" w:cs="Garamond"/>
                <w:sz w:val="21"/>
                <w:szCs w:val="21"/>
              </w:rPr>
            </w:pPr>
          </w:p>
        </w:tc>
      </w:tr>
      <w:tr>
        <w:tc>
          <w:tcPr>
            <w:tcW w:w="568" w:type="dxa"/>
          </w:tcPr>
          <w:p>
            <w:pPr>
              <w:pStyle w:val="ConsPlusNormal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7" w:type="dxa"/>
          </w:tcPr>
          <w:p>
            <w:pPr>
              <w:pStyle w:val="ConsPlusNormal"/>
              <w:spacing w:before="200"/>
              <w:ind w:firstLine="540"/>
              <w:jc w:val="both"/>
            </w:pPr>
            <w:r>
              <w:t>из информационной системы аккредитованной доверенной третьей стороны;</w:t>
            </w:r>
          </w:p>
        </w:tc>
        <w:tc>
          <w:tcPr>
            <w:tcW w:w="1417" w:type="dxa"/>
          </w:tcPr>
          <w:p>
            <w:pPr>
              <w:pStyle w:val="ConsPlusNormal"/>
              <w:spacing w:before="200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ConsPlusNormal"/>
              <w:spacing w:before="200"/>
              <w:ind w:firstLine="540"/>
              <w:jc w:val="both"/>
              <w:rPr>
                <w:sz w:val="21"/>
                <w:szCs w:val="21"/>
              </w:rPr>
            </w:pPr>
          </w:p>
        </w:tc>
      </w:tr>
      <w:tr>
        <w:tc>
          <w:tcPr>
            <w:tcW w:w="568" w:type="dxa"/>
          </w:tcPr>
          <w:p>
            <w:pPr>
              <w:pStyle w:val="ConsPlusNormal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7" w:type="dxa"/>
          </w:tcPr>
          <w:p>
            <w:pPr>
              <w:pStyle w:val="ConsPlusNormal"/>
              <w:spacing w:before="200"/>
              <w:ind w:firstLine="540"/>
              <w:jc w:val="both"/>
            </w:pPr>
            <w:r>
              <w:t>из информационной системы оператора электронного документооборота, требования к которому устанавливаются федеральным органом исполнительной власти, уполномоченным осуществлять функции по контролю и надзору в сфере налогов и сборов;</w:t>
            </w:r>
          </w:p>
        </w:tc>
        <w:tc>
          <w:tcPr>
            <w:tcW w:w="1417" w:type="dxa"/>
          </w:tcPr>
          <w:p>
            <w:pPr>
              <w:pStyle w:val="ConsPlusNormal"/>
              <w:spacing w:before="200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ConsPlusNormal"/>
              <w:spacing w:before="200"/>
              <w:ind w:firstLine="540"/>
              <w:jc w:val="both"/>
              <w:rPr>
                <w:sz w:val="21"/>
                <w:szCs w:val="21"/>
              </w:rPr>
            </w:pPr>
          </w:p>
        </w:tc>
      </w:tr>
      <w:tr>
        <w:tc>
          <w:tcPr>
            <w:tcW w:w="568" w:type="dxa"/>
          </w:tcPr>
          <w:p>
            <w:pPr>
              <w:pStyle w:val="ConsPlusNormal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37" w:type="dxa"/>
          </w:tcPr>
          <w:p>
            <w:pPr>
              <w:pStyle w:val="ConsPlusNormal"/>
              <w:spacing w:before="200"/>
              <w:ind w:firstLine="540"/>
              <w:jc w:val="both"/>
            </w:pPr>
            <w:r>
              <w:t>из информационной системы, в которой подписан и из которой направляется электронный документ, подписанный усиленной квалифицированной электронной подписью представителя на основании такой доверенности;</w:t>
            </w:r>
          </w:p>
        </w:tc>
        <w:tc>
          <w:tcPr>
            <w:tcW w:w="1417" w:type="dxa"/>
          </w:tcPr>
          <w:p>
            <w:pPr>
              <w:pStyle w:val="ConsPlusNormal"/>
              <w:spacing w:before="200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ConsPlusNormal"/>
              <w:spacing w:before="200"/>
              <w:ind w:firstLine="540"/>
              <w:jc w:val="both"/>
              <w:rPr>
                <w:sz w:val="21"/>
                <w:szCs w:val="21"/>
              </w:rPr>
            </w:pPr>
          </w:p>
        </w:tc>
      </w:tr>
      <w:tr>
        <w:tc>
          <w:tcPr>
            <w:tcW w:w="568" w:type="dxa"/>
          </w:tcPr>
          <w:p>
            <w:pPr>
              <w:pStyle w:val="ConsPlusNormal"/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37" w:type="dxa"/>
          </w:tcPr>
          <w:p>
            <w:pPr>
              <w:pStyle w:val="ConsPlusNormal"/>
              <w:spacing w:before="200"/>
              <w:ind w:firstLine="540"/>
              <w:jc w:val="both"/>
            </w:pPr>
            <w:r>
              <w:t>из информационной системы федерального органа исполнительной власти или органа государственного внебюджетного фонда Российской Федерации.</w:t>
            </w:r>
          </w:p>
        </w:tc>
        <w:tc>
          <w:tcPr>
            <w:tcW w:w="1417" w:type="dxa"/>
          </w:tcPr>
          <w:p>
            <w:pPr>
              <w:pStyle w:val="ConsPlusNormal"/>
              <w:spacing w:before="200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ConsPlusNormal"/>
              <w:spacing w:before="200"/>
              <w:ind w:firstLine="540"/>
              <w:jc w:val="both"/>
              <w:rPr>
                <w:sz w:val="21"/>
                <w:szCs w:val="21"/>
              </w:rPr>
            </w:pPr>
          </w:p>
        </w:tc>
      </w:tr>
    </w:tbl>
    <w:p>
      <w:pPr>
        <w:pStyle w:val="a9"/>
      </w:pPr>
    </w:p>
    <w:p>
      <w:pPr>
        <w:pStyle w:val="a9"/>
        <w:jc w:val="both"/>
        <w:rPr>
          <w:rFonts w:ascii="Garamond" w:eastAsiaTheme="minorHAnsi" w:hAnsi="Garamond" w:cs="Garamond"/>
          <w:sz w:val="22"/>
          <w:szCs w:val="22"/>
          <w:lang w:eastAsia="en-US"/>
        </w:rPr>
      </w:pPr>
      <w:r>
        <w:rPr>
          <w:rFonts w:ascii="Garamond" w:eastAsiaTheme="minorHAnsi" w:hAnsi="Garamond" w:cs="Garamond"/>
          <w:sz w:val="22"/>
          <w:szCs w:val="22"/>
          <w:lang w:eastAsia="en-US"/>
        </w:rPr>
        <w:t>* Необходимо указать один из способов предоставления информации о номере и дате МЧД и об информационной системе, в которой осуществляется хранение МЧД:</w:t>
      </w:r>
    </w:p>
    <w:p>
      <w:pPr>
        <w:pStyle w:val="a9"/>
        <w:jc w:val="both"/>
        <w:rPr>
          <w:rFonts w:ascii="Garamond" w:eastAsiaTheme="minorHAnsi" w:hAnsi="Garamond" w:cs="Garamond"/>
          <w:sz w:val="22"/>
          <w:szCs w:val="22"/>
          <w:lang w:eastAsia="en-US"/>
        </w:rPr>
      </w:pPr>
      <w:r>
        <w:rPr>
          <w:rFonts w:ascii="Garamond" w:eastAsiaTheme="minorHAnsi" w:hAnsi="Garamond" w:cs="Garamond"/>
          <w:sz w:val="22"/>
          <w:szCs w:val="22"/>
          <w:lang w:eastAsia="en-US"/>
        </w:rPr>
        <w:t xml:space="preserve">- в самом электронном документе; </w:t>
      </w:r>
    </w:p>
    <w:p>
      <w:pPr>
        <w:pStyle w:val="a9"/>
        <w:jc w:val="both"/>
        <w:rPr>
          <w:rFonts w:ascii="Garamond" w:eastAsiaTheme="minorHAnsi" w:hAnsi="Garamond" w:cs="Garamond"/>
          <w:sz w:val="22"/>
          <w:szCs w:val="22"/>
          <w:lang w:eastAsia="en-US"/>
        </w:rPr>
      </w:pPr>
      <w:r>
        <w:rPr>
          <w:rFonts w:ascii="Garamond" w:eastAsiaTheme="minorHAnsi" w:hAnsi="Garamond" w:cs="Garamond"/>
          <w:sz w:val="22"/>
          <w:szCs w:val="22"/>
          <w:lang w:eastAsia="en-US"/>
        </w:rPr>
        <w:t>- иной способ (указать какой).</w:t>
      </w:r>
    </w:p>
    <w:p>
      <w:pPr>
        <w:pStyle w:val="ConsPlusNormal"/>
        <w:ind w:firstLine="539"/>
        <w:jc w:val="both"/>
        <w:rPr>
          <w:sz w:val="20"/>
          <w:szCs w:val="20"/>
        </w:rPr>
      </w:pPr>
    </w:p>
    <w:p>
      <w:pPr>
        <w:pStyle w:val="ConsPlusNormal"/>
        <w:ind w:firstLine="539"/>
        <w:jc w:val="both"/>
        <w:rPr>
          <w:sz w:val="20"/>
          <w:szCs w:val="20"/>
        </w:rPr>
      </w:pPr>
    </w:p>
    <w:tbl>
      <w:tblPr>
        <w:tblW w:w="10033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65"/>
      </w:tblGrid>
      <w:tr>
        <w:trPr>
          <w:gridAfter w:val="1"/>
          <w:wAfter w:w="265" w:type="dxa"/>
          <w:trHeight w:val="300"/>
        </w:trPr>
        <w:tc>
          <w:tcPr>
            <w:tcW w:w="33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Руководитель 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softHyphen/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softHyphen/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softHyphen/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softHyphen/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softHyphen/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softHyphen/>
            </w:r>
            <w:r>
              <w:rPr>
                <w:rFonts w:ascii="Garamond" w:hAnsi="Garamond" w:cs="Arial"/>
                <w:b/>
                <w:bCs/>
              </w:rPr>
              <w:t>______________________ :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gridAfter w:val="10"/>
          <w:wAfter w:w="2263" w:type="dxa"/>
          <w:trHeight w:val="300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2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>
        <w:trPr>
          <w:gridAfter w:val="1"/>
          <w:wAfter w:w="265" w:type="dxa"/>
          <w:trHeight w:val="210"/>
        </w:trPr>
        <w:tc>
          <w:tcPr>
            <w:tcW w:w="375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расшифровка подписи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gridAfter w:val="10"/>
          <w:wAfter w:w="3773" w:type="dxa"/>
          <w:trHeight w:val="255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300"/>
        </w:trPr>
        <w:tc>
          <w:tcPr>
            <w:tcW w:w="1003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Иное уполномоченное лицо по доверенности </w:t>
            </w:r>
          </w:p>
        </w:tc>
      </w:tr>
      <w:tr>
        <w:trPr>
          <w:gridAfter w:val="1"/>
          <w:wAfter w:w="265" w:type="dxa"/>
          <w:trHeight w:val="300"/>
        </w:trPr>
        <w:tc>
          <w:tcPr>
            <w:tcW w:w="19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(приказу) 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от</w:t>
            </w:r>
          </w:p>
        </w:tc>
        <w:tc>
          <w:tcPr>
            <w:tcW w:w="21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г.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14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>
        <w:trPr>
          <w:gridAfter w:val="10"/>
          <w:wAfter w:w="3773" w:type="dxa"/>
          <w:trHeight w:val="132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</w:tr>
      <w:tr>
        <w:trPr>
          <w:gridAfter w:val="10"/>
          <w:wAfter w:w="2263" w:type="dxa"/>
          <w:trHeight w:val="300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2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>
        <w:trPr>
          <w:gridAfter w:val="1"/>
          <w:wAfter w:w="265" w:type="dxa"/>
          <w:trHeight w:val="210"/>
        </w:trPr>
        <w:tc>
          <w:tcPr>
            <w:tcW w:w="375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2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расшифровка подписи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rPr>
          <w:rFonts w:ascii="Garamond" w:hAnsi="Garamond"/>
          <w:bCs/>
          <w:iCs/>
          <w:color w:val="000000"/>
          <w:sz w:val="22"/>
          <w:szCs w:val="22"/>
        </w:rPr>
      </w:pPr>
    </w:p>
    <w:sectPr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01837AC"/>
    <w:lvl w:ilvl="0">
      <w:start w:val="1"/>
      <w:numFmt w:val="none"/>
      <w:pStyle w:val="1"/>
      <w:suff w:val="nothing"/>
      <w:lvlText w:val="9"/>
      <w:lvlJc w:val="left"/>
      <w:pPr>
        <w:ind w:left="3960" w:firstLine="0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pStyle w:val="3"/>
      <w:lvlText w:val="%2.%3"/>
      <w:lvlJc w:val="left"/>
      <w:pPr>
        <w:tabs>
          <w:tab w:val="num" w:pos="360"/>
        </w:tabs>
        <w:ind w:left="360" w:firstLine="0"/>
      </w:pPr>
      <w:rPr>
        <w:rFonts w:hint="default"/>
        <w:b w:val="0"/>
      </w:rPr>
    </w:lvl>
    <w:lvl w:ilvl="3">
      <w:start w:val="1"/>
      <w:numFmt w:val="decimal"/>
      <w:pStyle w:val="4"/>
      <w:lvlText w:val="%2.%3.%4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pStyle w:val="6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7F7411"/>
    <w:multiLevelType w:val="hybridMultilevel"/>
    <w:tmpl w:val="191CCB72"/>
    <w:lvl w:ilvl="0" w:tplc="5BEA792A">
      <w:start w:val="1"/>
      <w:numFmt w:val="decimal"/>
      <w:lvlText w:val="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5452D"/>
    <w:multiLevelType w:val="hybridMultilevel"/>
    <w:tmpl w:val="09B6CFE2"/>
    <w:lvl w:ilvl="0" w:tplc="4E905A00">
      <w:start w:val="1"/>
      <w:numFmt w:val="bullet"/>
      <w:lvlText w:val=""/>
      <w:lvlJc w:val="left"/>
      <w:pPr>
        <w:tabs>
          <w:tab w:val="num" w:pos="1113"/>
        </w:tabs>
        <w:ind w:left="1113" w:hanging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D156C2"/>
    <w:multiLevelType w:val="multilevel"/>
    <w:tmpl w:val="B142B3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4" w15:restartNumberingAfterBreak="0">
    <w:nsid w:val="0A186C23"/>
    <w:multiLevelType w:val="multilevel"/>
    <w:tmpl w:val="77F8E5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</w:rPr>
    </w:lvl>
    <w:lvl w:ilvl="1">
      <w:start w:val="1"/>
      <w:numFmt w:val="bullet"/>
      <w:lvlText w:val=""/>
      <w:lvlJc w:val="left"/>
      <w:pPr>
        <w:tabs>
          <w:tab w:val="num" w:pos="1853"/>
        </w:tabs>
        <w:ind w:left="1853" w:hanging="435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ascii="Garamond" w:hAnsi="Garamond"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5" w15:restartNumberingAfterBreak="0">
    <w:nsid w:val="0C6363B1"/>
    <w:multiLevelType w:val="hybridMultilevel"/>
    <w:tmpl w:val="A174504A"/>
    <w:lvl w:ilvl="0" w:tplc="5492C458">
      <w:start w:val="1"/>
      <w:numFmt w:val="bullet"/>
      <w:lvlText w:val="-"/>
      <w:lvlJc w:val="left"/>
      <w:pPr>
        <w:ind w:left="1280" w:hanging="360"/>
      </w:pPr>
      <w:rPr>
        <w:rFonts w:ascii="Calibri" w:hAnsi="Calibri" w:hint="default"/>
      </w:rPr>
    </w:lvl>
    <w:lvl w:ilvl="1" w:tplc="041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161D071B"/>
    <w:multiLevelType w:val="multilevel"/>
    <w:tmpl w:val="68866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aramond" w:hAnsi="Garamond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16CD7C6E"/>
    <w:multiLevelType w:val="hybridMultilevel"/>
    <w:tmpl w:val="B8CE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148FF"/>
    <w:multiLevelType w:val="hybridMultilevel"/>
    <w:tmpl w:val="5DF01C58"/>
    <w:lvl w:ilvl="0" w:tplc="BCB61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75132"/>
    <w:multiLevelType w:val="hybridMultilevel"/>
    <w:tmpl w:val="E772B134"/>
    <w:lvl w:ilvl="0" w:tplc="4E905A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074B32"/>
    <w:multiLevelType w:val="multilevel"/>
    <w:tmpl w:val="48543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49C342E"/>
    <w:multiLevelType w:val="multilevel"/>
    <w:tmpl w:val="2238434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435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ascii="Garamond" w:hAnsi="Garamond"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12" w15:restartNumberingAfterBreak="0">
    <w:nsid w:val="253E7B30"/>
    <w:multiLevelType w:val="hybridMultilevel"/>
    <w:tmpl w:val="BEF090EE"/>
    <w:lvl w:ilvl="0" w:tplc="29B6A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B4F12"/>
    <w:multiLevelType w:val="multilevel"/>
    <w:tmpl w:val="C478E1FA"/>
    <w:lvl w:ilvl="0">
      <w:start w:val="1"/>
      <w:numFmt w:val="none"/>
      <w:pStyle w:val="CMSHeadL1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0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/>
      </w:pPr>
      <w:rPr>
        <w:rFonts w:cs="Times New Roman"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</w:abstractNum>
  <w:abstractNum w:abstractNumId="14" w15:restartNumberingAfterBreak="0">
    <w:nsid w:val="301667A9"/>
    <w:multiLevelType w:val="multilevel"/>
    <w:tmpl w:val="1ED43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29E1999"/>
    <w:multiLevelType w:val="hybridMultilevel"/>
    <w:tmpl w:val="688E8298"/>
    <w:lvl w:ilvl="0" w:tplc="4BF09996">
      <w:start w:val="1"/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4B30E5"/>
    <w:multiLevelType w:val="hybridMultilevel"/>
    <w:tmpl w:val="B07ABA8E"/>
    <w:lvl w:ilvl="0" w:tplc="4E905A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1022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8" w15:restartNumberingAfterBreak="0">
    <w:nsid w:val="38C225CB"/>
    <w:multiLevelType w:val="hybridMultilevel"/>
    <w:tmpl w:val="300A347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CEF612D"/>
    <w:multiLevelType w:val="multilevel"/>
    <w:tmpl w:val="75AEF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D8C59A5"/>
    <w:multiLevelType w:val="multilevel"/>
    <w:tmpl w:val="90B871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</w:rPr>
    </w:lvl>
    <w:lvl w:ilvl="1">
      <w:start w:val="1"/>
      <w:numFmt w:val="bullet"/>
      <w:lvlText w:val=""/>
      <w:lvlJc w:val="left"/>
      <w:pPr>
        <w:tabs>
          <w:tab w:val="num" w:pos="1003"/>
        </w:tabs>
        <w:ind w:left="1003" w:hanging="435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ascii="Garamond" w:hAnsi="Garamond"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21" w15:restartNumberingAfterBreak="0">
    <w:nsid w:val="3FF42CE2"/>
    <w:multiLevelType w:val="hybridMultilevel"/>
    <w:tmpl w:val="BCAA71B8"/>
    <w:lvl w:ilvl="0" w:tplc="FB384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E0357"/>
    <w:multiLevelType w:val="hybridMultilevel"/>
    <w:tmpl w:val="AA02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66B53"/>
    <w:multiLevelType w:val="hybridMultilevel"/>
    <w:tmpl w:val="1F4CE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E25B95"/>
    <w:multiLevelType w:val="hybridMultilevel"/>
    <w:tmpl w:val="668A28E0"/>
    <w:lvl w:ilvl="0" w:tplc="5BEA792A">
      <w:start w:val="1"/>
      <w:numFmt w:val="decimal"/>
      <w:lvlText w:val="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01E9A"/>
    <w:multiLevelType w:val="hybridMultilevel"/>
    <w:tmpl w:val="CEEE2E0C"/>
    <w:lvl w:ilvl="0" w:tplc="2368CE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C764C5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0F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01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8D9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6C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6F9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A48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32F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93E38"/>
    <w:multiLevelType w:val="hybridMultilevel"/>
    <w:tmpl w:val="436018E6"/>
    <w:lvl w:ilvl="0" w:tplc="F7308756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9"/>
        </w:tabs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27" w15:restartNumberingAfterBreak="0">
    <w:nsid w:val="57702DB7"/>
    <w:multiLevelType w:val="hybridMultilevel"/>
    <w:tmpl w:val="16181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272BC"/>
    <w:multiLevelType w:val="multilevel"/>
    <w:tmpl w:val="BD4223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CD17967"/>
    <w:multiLevelType w:val="hybridMultilevel"/>
    <w:tmpl w:val="7BA4A470"/>
    <w:lvl w:ilvl="0" w:tplc="4E905A0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746F1"/>
    <w:multiLevelType w:val="hybridMultilevel"/>
    <w:tmpl w:val="10C47496"/>
    <w:lvl w:ilvl="0" w:tplc="10C0EFB2">
      <w:start w:val="18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1" w15:restartNumberingAfterBreak="0">
    <w:nsid w:val="616530F0"/>
    <w:multiLevelType w:val="multilevel"/>
    <w:tmpl w:val="594871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003"/>
        </w:tabs>
        <w:ind w:left="1003" w:hanging="435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ascii="Garamond" w:hAnsi="Garamond"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32" w15:restartNumberingAfterBreak="0">
    <w:nsid w:val="63D10B6F"/>
    <w:multiLevelType w:val="hybridMultilevel"/>
    <w:tmpl w:val="C90EC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E7029"/>
    <w:multiLevelType w:val="hybridMultilevel"/>
    <w:tmpl w:val="4CFA8FCA"/>
    <w:lvl w:ilvl="0" w:tplc="889C40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84549F"/>
    <w:multiLevelType w:val="hybridMultilevel"/>
    <w:tmpl w:val="238C38EC"/>
    <w:lvl w:ilvl="0" w:tplc="46D010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51FAF"/>
    <w:multiLevelType w:val="hybridMultilevel"/>
    <w:tmpl w:val="202A6952"/>
    <w:lvl w:ilvl="0" w:tplc="4E905A00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6" w15:restartNumberingAfterBreak="0">
    <w:nsid w:val="6DD431F5"/>
    <w:multiLevelType w:val="hybridMultilevel"/>
    <w:tmpl w:val="EDA2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C69A7"/>
    <w:multiLevelType w:val="hybridMultilevel"/>
    <w:tmpl w:val="E00CE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F2491"/>
    <w:multiLevelType w:val="multilevel"/>
    <w:tmpl w:val="3BD4BF10"/>
    <w:lvl w:ilvl="0">
      <w:start w:val="1"/>
      <w:numFmt w:val="decimal"/>
      <w:lvlText w:val="§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  <w:i w:val="0"/>
        <w:strike w:val="0"/>
        <w:color w:val="auto"/>
      </w:rPr>
    </w:lvl>
    <w:lvl w:ilvl="2">
      <w:start w:val="1"/>
      <w:numFmt w:val="decimal"/>
      <w:lvlText w:val="1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9" w15:restartNumberingAfterBreak="0">
    <w:nsid w:val="7487237D"/>
    <w:multiLevelType w:val="hybridMultilevel"/>
    <w:tmpl w:val="69F66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94370"/>
    <w:multiLevelType w:val="multilevel"/>
    <w:tmpl w:val="B23AF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80A6DA1"/>
    <w:multiLevelType w:val="multilevel"/>
    <w:tmpl w:val="4CB29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4"/>
  </w:num>
  <w:num w:numId="5">
    <w:abstractNumId w:val="2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0"/>
  </w:num>
  <w:num w:numId="9">
    <w:abstractNumId w:val="40"/>
  </w:num>
  <w:num w:numId="10">
    <w:abstractNumId w:val="28"/>
  </w:num>
  <w:num w:numId="11">
    <w:abstractNumId w:val="14"/>
  </w:num>
  <w:num w:numId="12">
    <w:abstractNumId w:val="38"/>
  </w:num>
  <w:num w:numId="13">
    <w:abstractNumId w:val="13"/>
  </w:num>
  <w:num w:numId="14">
    <w:abstractNumId w:val="24"/>
  </w:num>
  <w:num w:numId="15">
    <w:abstractNumId w:val="21"/>
  </w:num>
  <w:num w:numId="16">
    <w:abstractNumId w:val="1"/>
  </w:num>
  <w:num w:numId="17">
    <w:abstractNumId w:val="17"/>
  </w:num>
  <w:num w:numId="18">
    <w:abstractNumId w:val="12"/>
  </w:num>
  <w:num w:numId="19">
    <w:abstractNumId w:val="2"/>
  </w:num>
  <w:num w:numId="20">
    <w:abstractNumId w:val="3"/>
  </w:num>
  <w:num w:numId="21">
    <w:abstractNumId w:val="16"/>
  </w:num>
  <w:num w:numId="22">
    <w:abstractNumId w:val="9"/>
  </w:num>
  <w:num w:numId="23">
    <w:abstractNumId w:val="35"/>
  </w:num>
  <w:num w:numId="24">
    <w:abstractNumId w:val="41"/>
  </w:num>
  <w:num w:numId="25">
    <w:abstractNumId w:val="10"/>
  </w:num>
  <w:num w:numId="26">
    <w:abstractNumId w:val="19"/>
  </w:num>
  <w:num w:numId="27">
    <w:abstractNumId w:val="5"/>
  </w:num>
  <w:num w:numId="28">
    <w:abstractNumId w:val="29"/>
  </w:num>
  <w:num w:numId="29">
    <w:abstractNumId w:val="18"/>
  </w:num>
  <w:num w:numId="30">
    <w:abstractNumId w:val="22"/>
  </w:num>
  <w:num w:numId="31">
    <w:abstractNumId w:val="7"/>
  </w:num>
  <w:num w:numId="32">
    <w:abstractNumId w:val="37"/>
  </w:num>
  <w:num w:numId="33">
    <w:abstractNumId w:val="15"/>
  </w:num>
  <w:num w:numId="34">
    <w:abstractNumId w:val="33"/>
  </w:num>
  <w:num w:numId="35">
    <w:abstractNumId w:val="31"/>
  </w:num>
  <w:num w:numId="36">
    <w:abstractNumId w:val="26"/>
  </w:num>
  <w:num w:numId="37">
    <w:abstractNumId w:val="27"/>
  </w:num>
  <w:num w:numId="38">
    <w:abstractNumId w:val="36"/>
  </w:num>
  <w:num w:numId="39">
    <w:abstractNumId w:val="32"/>
  </w:num>
  <w:num w:numId="40">
    <w:abstractNumId w:val="30"/>
  </w:num>
  <w:num w:numId="41">
    <w:abstractNumId w:val="39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C0B69-BFFC-4E42-BDFD-54771DA9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параграфа (1.),Section,Section Heading,level2 hdg,111"/>
    <w:basedOn w:val="a"/>
    <w:next w:val="a"/>
    <w:link w:val="10"/>
    <w:qFormat/>
    <w:pPr>
      <w:keepNext/>
      <w:numPr>
        <w:numId w:val="2"/>
      </w:numPr>
      <w:jc w:val="both"/>
      <w:outlineLvl w:val="0"/>
    </w:pPr>
    <w:rPr>
      <w:sz w:val="28"/>
    </w:rPr>
  </w:style>
  <w:style w:type="paragraph" w:styleId="2">
    <w:name w:val="heading 2"/>
    <w:aliases w:val="Заголовок пункта (1.1),h2,h21,5,Reset numbering,222"/>
    <w:basedOn w:val="a"/>
    <w:next w:val="a"/>
    <w:link w:val="20"/>
    <w:qFormat/>
    <w:pPr>
      <w:keepNext/>
      <w:numPr>
        <w:ilvl w:val="1"/>
        <w:numId w:val="2"/>
      </w:numPr>
      <w:outlineLvl w:val="1"/>
    </w:pPr>
    <w:rPr>
      <w:sz w:val="28"/>
    </w:rPr>
  </w:style>
  <w:style w:type="paragraph" w:styleId="3">
    <w:name w:val="heading 3"/>
    <w:aliases w:val="Заголовок подпукта (1.1.1),H3,Level 1 - 1,o"/>
    <w:basedOn w:val="a"/>
    <w:next w:val="a"/>
    <w:link w:val="30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,H41,Sub-Minor,Level 2 - a"/>
    <w:basedOn w:val="a"/>
    <w:link w:val="40"/>
    <w:qFormat/>
    <w:pPr>
      <w:numPr>
        <w:ilvl w:val="3"/>
        <w:numId w:val="2"/>
      </w:numPr>
      <w:spacing w:before="120" w:after="120"/>
      <w:jc w:val="both"/>
      <w:outlineLvl w:val="3"/>
    </w:pPr>
    <w:rPr>
      <w:sz w:val="22"/>
      <w:szCs w:val="20"/>
      <w:lang w:eastAsia="en-US"/>
    </w:rPr>
  </w:style>
  <w:style w:type="paragraph" w:styleId="5">
    <w:name w:val="heading 5"/>
    <w:aliases w:val="h5,h51,H5,H51,h52,test,Block Label,Level 3 - i"/>
    <w:basedOn w:val="a"/>
    <w:next w:val="a"/>
    <w:link w:val="50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Legal Level 1."/>
    <w:basedOn w:val="a"/>
    <w:next w:val="a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Appendix Header,Legal Level 1.1."/>
    <w:basedOn w:val="a"/>
    <w:next w:val="a"/>
    <w:link w:val="70"/>
    <w:qFormat/>
    <w:pPr>
      <w:numPr>
        <w:ilvl w:val="6"/>
        <w:numId w:val="2"/>
      </w:numPr>
      <w:spacing w:before="180" w:after="240"/>
      <w:outlineLvl w:val="6"/>
    </w:pPr>
    <w:rPr>
      <w:rFonts w:ascii="Garamond" w:hAnsi="Garamond"/>
      <w:sz w:val="22"/>
      <w:szCs w:val="20"/>
      <w:lang w:eastAsia="en-US"/>
    </w:rPr>
  </w:style>
  <w:style w:type="paragraph" w:styleId="8">
    <w:name w:val="heading 8"/>
    <w:aliases w:val="Legal Level 1.1.1."/>
    <w:basedOn w:val="a"/>
    <w:next w:val="a"/>
    <w:link w:val="80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  <w:lang w:eastAsia="en-US"/>
    </w:rPr>
  </w:style>
  <w:style w:type="paragraph" w:styleId="9">
    <w:name w:val="heading 9"/>
    <w:aliases w:val="Legal Level 1.1.1.1."/>
    <w:basedOn w:val="a"/>
    <w:next w:val="a"/>
    <w:link w:val="90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еленый маркер"/>
    <w:basedOn w:val="a0"/>
    <w:uiPriority w:val="1"/>
    <w:qFormat/>
    <w:rPr>
      <w:rFonts w:cs="Times New Roman"/>
      <w:color w:val="00B050"/>
      <w:szCs w:val="24"/>
    </w:rPr>
  </w:style>
  <w:style w:type="character" w:customStyle="1" w:styleId="a4">
    <w:name w:val="Красный маркер"/>
    <w:basedOn w:val="a0"/>
    <w:uiPriority w:val="1"/>
    <w:qFormat/>
    <w:rPr>
      <w:rFonts w:ascii="Times New Roman" w:hAnsi="Times New Roman" w:cs="Times New Roman"/>
      <w:strike/>
      <w:dstrike w:val="0"/>
      <w:color w:val="FF0000"/>
      <w:szCs w:val="24"/>
    </w:rPr>
  </w:style>
  <w:style w:type="paragraph" w:customStyle="1" w:styleId="a5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xt">
    <w:name w:val="txt"/>
    <w:basedOn w:val="a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4"/>
      <w:szCs w:val="14"/>
    </w:rPr>
  </w:style>
  <w:style w:type="character" w:customStyle="1" w:styleId="10">
    <w:name w:val="Заголовок 1 Знак"/>
    <w:aliases w:val="Заголовок параграфа (1.) Знак,Section Знак,Section Heading Знак,level2 hdg Знак,111 Знак"/>
    <w:basedOn w:val="a0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aliases w:val="Заголовок пункта (1.1) Знак,h2 Знак,h21 Знак,5 Знак,Reset numbering Знак,22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aliases w:val="Заголовок подпукта (1.1.1) Знак,H3 Знак,Level 1 - 1 Знак,o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H4 Знак,H41 Знак,Sub-Minor Знак,Level 2 - a Знак"/>
    <w:basedOn w:val="a0"/>
    <w:link w:val="4"/>
    <w:rPr>
      <w:rFonts w:ascii="Times New Roman" w:eastAsia="Times New Roman" w:hAnsi="Times New Roman" w:cs="Times New Roman"/>
      <w:szCs w:val="20"/>
    </w:rPr>
  </w:style>
  <w:style w:type="character" w:customStyle="1" w:styleId="50">
    <w:name w:val="Заголовок 5 Знак"/>
    <w:aliases w:val="h5 Знак,h51 Знак,H5 Знак,H51 Знак,h52 Знак,test Знак,Block Label Знак,Level 3 - i Знак"/>
    <w:basedOn w:val="a0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Legal Level 1. Знак"/>
    <w:basedOn w:val="a0"/>
    <w:link w:val="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Appendix Header Знак,Legal Level 1.1. Знак"/>
    <w:basedOn w:val="a0"/>
    <w:link w:val="7"/>
    <w:rPr>
      <w:rFonts w:ascii="Garamond" w:eastAsia="Times New Roman" w:hAnsi="Garamond" w:cs="Times New Roman"/>
      <w:szCs w:val="20"/>
    </w:rPr>
  </w:style>
  <w:style w:type="character" w:customStyle="1" w:styleId="80">
    <w:name w:val="Заголовок 8 Знак"/>
    <w:aliases w:val="Legal Level 1.1.1. Знак"/>
    <w:basedOn w:val="a0"/>
    <w:link w:val="8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aliases w:val="Legal Level 1.1.1.1. Знак"/>
    <w:basedOn w:val="a0"/>
    <w:link w:val="9"/>
    <w:rPr>
      <w:rFonts w:ascii="Arial" w:eastAsia="Times New Roman" w:hAnsi="Arial" w:cs="Times New Roman"/>
      <w:i/>
      <w:sz w:val="18"/>
      <w:szCs w:val="20"/>
    </w:rPr>
  </w:style>
  <w:style w:type="paragraph" w:styleId="a6">
    <w:name w:val="List Paragraph"/>
    <w:basedOn w:val="a"/>
    <w:qFormat/>
    <w:pPr>
      <w:ind w:left="720"/>
      <w:contextualSpacing/>
    </w:pPr>
    <w:rPr>
      <w:sz w:val="20"/>
      <w:szCs w:val="20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nhideWhenUsed/>
    <w:rPr>
      <w:sz w:val="16"/>
      <w:szCs w:val="16"/>
    </w:rPr>
  </w:style>
  <w:style w:type="paragraph" w:styleId="a9">
    <w:name w:val="annotation text"/>
    <w:basedOn w:val="a"/>
    <w:link w:val="aa"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MSHeadL9">
    <w:name w:val="CMS Head L9"/>
    <w:basedOn w:val="a"/>
    <w:uiPriority w:val="99"/>
    <w:pPr>
      <w:numPr>
        <w:ilvl w:val="8"/>
        <w:numId w:val="13"/>
      </w:numPr>
      <w:spacing w:after="240"/>
      <w:outlineLvl w:val="8"/>
    </w:pPr>
    <w:rPr>
      <w:rFonts w:ascii="Garamond MT" w:hAnsi="Garamond MT"/>
      <w:lang w:val="en-GB" w:eastAsia="en-US"/>
    </w:rPr>
  </w:style>
  <w:style w:type="paragraph" w:customStyle="1" w:styleId="CMSHeadL1">
    <w:name w:val="CMS Head L1"/>
    <w:basedOn w:val="a"/>
    <w:next w:val="CMSHeadL2"/>
    <w:uiPriority w:val="99"/>
    <w:pPr>
      <w:pageBreakBefore/>
      <w:numPr>
        <w:numId w:val="1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 w:eastAsia="en-US"/>
    </w:rPr>
  </w:style>
  <w:style w:type="paragraph" w:customStyle="1" w:styleId="CMSHeadL2">
    <w:name w:val="CMS Head L2"/>
    <w:basedOn w:val="a"/>
    <w:next w:val="CMSHeadL3"/>
    <w:autoRedefine/>
    <w:uiPriority w:val="99"/>
    <w:pPr>
      <w:keepNext/>
      <w:keepLines/>
      <w:numPr>
        <w:ilvl w:val="1"/>
        <w:numId w:val="13"/>
      </w:numPr>
      <w:spacing w:before="240" w:after="240"/>
      <w:outlineLvl w:val="1"/>
    </w:pPr>
    <w:rPr>
      <w:rFonts w:ascii="Garamond MT" w:hAnsi="Garamond MT"/>
      <w:b/>
      <w:lang w:eastAsia="en-US"/>
    </w:rPr>
  </w:style>
  <w:style w:type="paragraph" w:customStyle="1" w:styleId="CMSHeadL3">
    <w:name w:val="CMS Head L3"/>
    <w:basedOn w:val="a"/>
    <w:uiPriority w:val="99"/>
    <w:pPr>
      <w:numPr>
        <w:ilvl w:val="2"/>
        <w:numId w:val="13"/>
      </w:numPr>
      <w:spacing w:after="240"/>
      <w:outlineLvl w:val="2"/>
    </w:pPr>
    <w:rPr>
      <w:rFonts w:ascii="Garamond MT" w:hAnsi="Garamond MT"/>
      <w:lang w:val="en-GB" w:eastAsia="en-US"/>
    </w:rPr>
  </w:style>
  <w:style w:type="paragraph" w:customStyle="1" w:styleId="CMSHeadL4">
    <w:name w:val="CMS Head L4"/>
    <w:basedOn w:val="a"/>
    <w:uiPriority w:val="99"/>
    <w:pPr>
      <w:numPr>
        <w:ilvl w:val="3"/>
        <w:numId w:val="13"/>
      </w:numPr>
      <w:spacing w:after="240"/>
      <w:outlineLvl w:val="3"/>
    </w:pPr>
    <w:rPr>
      <w:rFonts w:ascii="Garamond MT" w:hAnsi="Garamond MT"/>
      <w:lang w:val="en-GB" w:eastAsia="en-US"/>
    </w:rPr>
  </w:style>
  <w:style w:type="paragraph" w:customStyle="1" w:styleId="CMSHeadL5">
    <w:name w:val="CMS Head L5"/>
    <w:basedOn w:val="a"/>
    <w:uiPriority w:val="99"/>
    <w:pPr>
      <w:numPr>
        <w:ilvl w:val="4"/>
        <w:numId w:val="13"/>
      </w:numPr>
      <w:spacing w:after="240"/>
      <w:outlineLvl w:val="4"/>
    </w:pPr>
    <w:rPr>
      <w:rFonts w:ascii="Garamond MT" w:hAnsi="Garamond MT"/>
      <w:lang w:val="en-GB" w:eastAsia="en-US"/>
    </w:rPr>
  </w:style>
  <w:style w:type="paragraph" w:customStyle="1" w:styleId="CMSHeadL6">
    <w:name w:val="CMS Head L6"/>
    <w:basedOn w:val="a"/>
    <w:uiPriority w:val="99"/>
    <w:pPr>
      <w:numPr>
        <w:ilvl w:val="5"/>
        <w:numId w:val="13"/>
      </w:numPr>
      <w:spacing w:after="240"/>
      <w:outlineLvl w:val="5"/>
    </w:pPr>
    <w:rPr>
      <w:rFonts w:ascii="Garamond MT" w:hAnsi="Garamond MT"/>
      <w:lang w:val="en-GB" w:eastAsia="en-US"/>
    </w:rPr>
  </w:style>
  <w:style w:type="paragraph" w:customStyle="1" w:styleId="CMSHeadL7">
    <w:name w:val="CMS Head L7"/>
    <w:basedOn w:val="a"/>
    <w:uiPriority w:val="99"/>
    <w:pPr>
      <w:numPr>
        <w:ilvl w:val="6"/>
        <w:numId w:val="13"/>
      </w:numPr>
      <w:spacing w:after="240"/>
      <w:outlineLvl w:val="6"/>
    </w:pPr>
    <w:rPr>
      <w:rFonts w:ascii="Garamond MT" w:hAnsi="Garamond MT"/>
      <w:lang w:val="en-GB" w:eastAsia="en-US"/>
    </w:rPr>
  </w:style>
  <w:style w:type="paragraph" w:customStyle="1" w:styleId="CMSHeadL8">
    <w:name w:val="CMS Head L8"/>
    <w:basedOn w:val="a"/>
    <w:uiPriority w:val="99"/>
    <w:pPr>
      <w:numPr>
        <w:ilvl w:val="7"/>
        <w:numId w:val="13"/>
      </w:numPr>
      <w:spacing w:after="240"/>
      <w:outlineLvl w:val="7"/>
    </w:pPr>
    <w:rPr>
      <w:rFonts w:ascii="Garamond MT" w:hAnsi="Garamond MT"/>
      <w:lang w:val="en-GB" w:eastAsia="en-US"/>
    </w:rPr>
  </w:style>
  <w:style w:type="paragraph" w:styleId="af">
    <w:name w:val="header"/>
    <w:basedOn w:val="a"/>
    <w:link w:val="af0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Îáû÷íûé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5">
    <w:name w:val="page number"/>
    <w:basedOn w:val="a0"/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21">
    <w:name w:val="Body Text 2"/>
    <w:basedOn w:val="a"/>
    <w:link w:val="22"/>
    <w:pPr>
      <w:spacing w:before="240" w:after="240"/>
      <w:jc w:val="both"/>
    </w:pPr>
    <w:rPr>
      <w:rFonts w:ascii="Garamond" w:hAnsi="Garamond"/>
    </w:rPr>
  </w:style>
  <w:style w:type="character" w:customStyle="1" w:styleId="22">
    <w:name w:val="Основной текст 2 Знак"/>
    <w:basedOn w:val="a0"/>
    <w:link w:val="21"/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subsubclauseindent">
    <w:name w:val="subsubclauseindent"/>
    <w:basedOn w:val="a"/>
    <w:pPr>
      <w:spacing w:before="120" w:after="120"/>
      <w:ind w:left="2552"/>
      <w:jc w:val="both"/>
    </w:pPr>
    <w:rPr>
      <w:sz w:val="22"/>
      <w:szCs w:val="20"/>
      <w:lang w:val="en-GB" w:eastAsia="en-US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</w:rPr>
  </w:style>
  <w:style w:type="paragraph" w:customStyle="1" w:styleId="11">
    <w:name w:val="Абзац списка1"/>
    <w:basedOn w:val="a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-cfr-f\&#1044;&#1041;&#1059;\&#1054;&#1073;&#1097;&#1072;&#1103;\&#1069;&#1044;&#1054;%20&#1089;%202018%20&#1075;&#1086;&#1076;&#1072;\&#1057;&#1086;&#1075;&#1083;&#1072;&#1096;&#1077;&#1085;&#1080;&#1103;%20&#1087;&#1086;%20&#1069;&#1044;&#1054;%20&#1093;&#1086;&#1079;&#1103;&#1081;&#1089;&#1090;&#1074;&#1077;&#1085;&#1085;&#1099;&#1077;%20&#1091;&#1095;&#1072;&#1089;&#1090;&#1085;&#1080;&#1082;&#1080;\&#1064;&#1072;&#1073;&#1083;&#1086;&#1085;%20&#1090;&#1080;&#1087;&#1086;&#1074;&#1086;&#1075;&#1086;%20&#1089;&#1086;&#1075;&#1083;&#1072;&#1096;&#1077;&#1085;&#1080;&#1103;%20&#1086;&#1073;%20&#1069;&#1044;&#1054;\&#1055;&#1088;&#1086;&#1077;&#1082;&#1090;%20&#1057;&#1086;&#1075;&#1083;&#1072;&#1096;&#1077;&#1085;&#1080;&#1103;%20&#1086;&#1073;%20&#1069;&#1044;&#1054;%20&#1087;&#1086;%20&#1093;&#1086;&#1079;&#1103;&#1081;&#1089;&#1090;&#1074;&#1077;&#1085;&#1085;&#1099;&#1084;%20&#1091;&#1095;&#1072;&#1089;&#1090;&#1085;&#1080;&#1082;&#1072;&#1084;%20&#1080;&#1102;&#1085;&#1100;%20202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01500-F7C8-4561-B7DA-3E20A1B4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Соглашения об ЭДО по хозяйственным участникам июнь 2022.dotx</Template>
  <TotalTime>0</TotalTime>
  <Pages>12</Pages>
  <Words>5373</Words>
  <Characters>30627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35929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Плужникова Инна Алексеевна</dc:creator>
  <cp:lastModifiedBy>Плужникова Инна Алексеевна</cp:lastModifiedBy>
  <cp:revision>3</cp:revision>
  <cp:lastPrinted>2023-11-08T09:52:00Z</cp:lastPrinted>
  <dcterms:created xsi:type="dcterms:W3CDTF">2024-09-19T08:12:00Z</dcterms:created>
  <dcterms:modified xsi:type="dcterms:W3CDTF">2024-09-19T10:10:00Z</dcterms:modified>
</cp:coreProperties>
</file>