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850" w:rsidRPr="00831CE4" w:rsidRDefault="00E51850" w:rsidP="00E51850">
      <w:pPr>
        <w:pStyle w:val="3"/>
        <w:numPr>
          <w:ilvl w:val="0"/>
          <w:numId w:val="0"/>
        </w:numPr>
        <w:ind w:left="1702"/>
        <w:jc w:val="right"/>
      </w:pPr>
      <w:r w:rsidRPr="00831CE4">
        <w:t>Приложение 114.3</w:t>
      </w:r>
    </w:p>
    <w:p w:rsidR="00E51850" w:rsidRPr="00831CE4" w:rsidRDefault="00E51850" w:rsidP="00E51850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831CE4">
        <w:rPr>
          <w:rFonts w:ascii="Garamond" w:hAnsi="Garamond"/>
          <w:b/>
          <w:bCs/>
          <w:szCs w:val="22"/>
          <w:lang w:val="ru-RU" w:eastAsia="x-none"/>
        </w:rPr>
        <w:t>Соглашение</w:t>
      </w:r>
      <w:r w:rsidRPr="00831CE4">
        <w:rPr>
          <w:rFonts w:ascii="Garamond" w:hAnsi="Garamond"/>
          <w:szCs w:val="22"/>
          <w:lang w:val="ru-RU" w:eastAsia="x-none"/>
        </w:rPr>
        <w:t xml:space="preserve"> </w:t>
      </w:r>
      <w:r w:rsidRPr="00831CE4">
        <w:rPr>
          <w:rFonts w:ascii="Garamond" w:hAnsi="Garamond"/>
          <w:b/>
          <w:bCs/>
          <w:szCs w:val="22"/>
          <w:lang w:val="ru-RU" w:eastAsia="x-none"/>
        </w:rPr>
        <w:t>о реструктуризации задолженности</w:t>
      </w:r>
    </w:p>
    <w:p w:rsidR="00E51850" w:rsidRPr="00831CE4" w:rsidRDefault="00E51850" w:rsidP="00E51850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831CE4">
        <w:rPr>
          <w:rFonts w:ascii="Garamond" w:hAnsi="Garamond"/>
          <w:b/>
          <w:bCs/>
          <w:szCs w:val="22"/>
          <w:lang w:val="ru-RU" w:eastAsia="x-none"/>
        </w:rPr>
        <w:t xml:space="preserve">№ ______________________ </w:t>
      </w:r>
    </w:p>
    <w:p w:rsidR="00E51850" w:rsidRPr="00F675D1" w:rsidRDefault="00E51850" w:rsidP="00E51850">
      <w:pPr>
        <w:spacing w:before="120" w:after="120"/>
        <w:rPr>
          <w:lang w:val="ru-RU"/>
        </w:rPr>
      </w:pP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г. ______________________</w:t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</w:r>
      <w:r w:rsidRPr="00F675D1">
        <w:rPr>
          <w:lang w:val="ru-RU" w:eastAsia="ru-RU"/>
        </w:rPr>
        <w:tab/>
        <w:t>____________________</w:t>
      </w: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 xml:space="preserve">____________________________________________________________________________________, именуемое в настоящем Соглашении «Продавец», </w:t>
      </w: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 xml:space="preserve">____________________________________________________________________________________, именуемое в настоящем Соглашении «Покупатель», </w:t>
      </w: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совместно именуемые в дальнейшем «Стороны»,</w:t>
      </w: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 xml:space="preserve">принимая во внимание, что Продавец является субъектом оптового рынка, подписал Договор о присоединении к торговой системе оптового рынка и осуществляет продажу электрической энергии и (или) мощности на оптовом рынке электрической энергии и мощности; </w:t>
      </w: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принимая во внимание, что Покупатель является субъектом оптового рынка, подписал Договор о присоединении к торговой системе оптового рынка и осуществляет покупку электрической энергии и мощности на оптовом рынке электрической энергии и мощности,</w:t>
      </w:r>
    </w:p>
    <w:p w:rsidR="00E51850" w:rsidRPr="00831CE4" w:rsidRDefault="00E51850" w:rsidP="00E51850">
      <w:pPr>
        <w:widowControl w:val="0"/>
        <w:spacing w:before="120" w:after="120"/>
        <w:jc w:val="both"/>
        <w:rPr>
          <w:lang w:eastAsia="ru-RU"/>
        </w:rPr>
      </w:pPr>
      <w:r w:rsidRPr="00831CE4">
        <w:rPr>
          <w:lang w:eastAsia="ru-RU"/>
        </w:rPr>
        <w:t>договорились о нижеследующем.</w:t>
      </w:r>
    </w:p>
    <w:p w:rsidR="00E51850" w:rsidRPr="00831CE4" w:rsidRDefault="00E51850" w:rsidP="00E51850">
      <w:pPr>
        <w:pStyle w:val="a3"/>
        <w:ind w:firstLine="567"/>
        <w:rPr>
          <w:rFonts w:ascii="Garamond" w:hAnsi="Garamond"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 xml:space="preserve">Настоящее Соглашение заключено в соответствии с указанными выше договорами о присоединении к торговой системе оптового рынка (далее – Договоры о присоединении). </w:t>
      </w:r>
    </w:p>
    <w:p w:rsidR="00E51850" w:rsidRPr="00F675D1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Положения, предусмотренные Договорами о присоединении, являются обязательными для сторон при осуществлении прав и исполнении обязанностей по настоящему Соглашению.</w:t>
      </w:r>
    </w:p>
    <w:p w:rsidR="00E51850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F675D1">
        <w:rPr>
          <w:lang w:val="ru-RU" w:eastAsia="ru-RU"/>
        </w:rPr>
        <w:t>В случае изменения Договоров о присоединении Стороны при исполнении обязательств, принятых по настоящему Соглашению, будут руководствоваться положениями действующей (последней) редакции Договоров о присоединении с даты вступления ее в силу.</w:t>
      </w:r>
    </w:p>
    <w:p w:rsidR="00E51850" w:rsidRPr="004E7AD4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4E7AD4">
        <w:rPr>
          <w:lang w:val="ru-RU" w:eastAsia="ru-RU"/>
        </w:rPr>
        <w:t>Стороны подтверждают и гарантируют, что имеют одобрение (согласование) соответствующим органом управления Стороны заключения Соглашения в случае, если такое одобрение (согласование) предусмотрено законодательством Российской Федерации или уставом соответствующей Стороны. Каждая из Сторон обязуется предоставить другой Стороне решение об одобрении (согласовании) заключения Соглашения на основании письменного запроса.</w:t>
      </w:r>
    </w:p>
    <w:p w:rsidR="00E51850" w:rsidRPr="004E7AD4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4E7AD4">
        <w:rPr>
          <w:rFonts w:ascii="Garamond" w:hAnsi="Garamond"/>
          <w:szCs w:val="22"/>
        </w:rPr>
        <w:t xml:space="preserve">Стороны договорились изменить сроки исполнения обязательств по оплате электрической энергии и (или) мощности в соответствии с приложением 1 к настоящему Соглашению (график исполнения обязательств по оплате электрической энергии и (или) мощности). </w:t>
      </w:r>
      <w:r w:rsidRPr="004E7AD4">
        <w:rPr>
          <w:rFonts w:ascii="Garamond" w:hAnsi="Garamond"/>
        </w:rPr>
        <w:t>Настоящее Соглашение не является новацией обязательств, указанных в приложении 1 к настоящему Соглашению.</w:t>
      </w:r>
    </w:p>
    <w:p w:rsidR="00E51850" w:rsidRPr="00831CE4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Права и обязанности по настоящему Соглашению возникают с даты учета АО «ЦФР» настоящего Соглашения в соответствии с Договорами о присоединении.</w:t>
      </w:r>
    </w:p>
    <w:p w:rsidR="00E51850" w:rsidRPr="00831CE4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 xml:space="preserve">Покупатель имеет право </w:t>
      </w:r>
      <w:r w:rsidRPr="004E7AD4">
        <w:rPr>
          <w:rFonts w:ascii="Garamond" w:hAnsi="Garamond"/>
          <w:szCs w:val="22"/>
        </w:rPr>
        <w:t>в одностороннем внесудебном порядке</w:t>
      </w:r>
      <w:r w:rsidRPr="00F46723">
        <w:rPr>
          <w:rFonts w:ascii="Garamond" w:hAnsi="Garamond"/>
          <w:szCs w:val="22"/>
        </w:rPr>
        <w:t xml:space="preserve"> </w:t>
      </w:r>
      <w:r w:rsidRPr="00831CE4">
        <w:rPr>
          <w:rFonts w:ascii="Garamond" w:hAnsi="Garamond"/>
          <w:szCs w:val="22"/>
        </w:rPr>
        <w:t>отказаться от настоящего Соглашения, направив уведомление об этом Продавцу и АО «ЦФР» по форме приложения 2 к настоящему Соглашению.</w:t>
      </w:r>
    </w:p>
    <w:p w:rsidR="00E51850" w:rsidRPr="00831CE4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Заключая настоящее Соглашение, Стороны выражают свое согласие на применение к отношениям по настоящему Соглашению правил учета АО «ЦФР» соглашений о реструктуризации задолженности и оснований прекращения АО «ЦФР» учета таких соглашений, установленных Договорами о присоединении.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0" w:firstLine="0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АО «ЦФР» прекращает учет настоящего Соглашения по следующим основаниям: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 xml:space="preserve">5.1. 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</w:t>
      </w:r>
      <w:r w:rsidRPr="00831CE4">
        <w:rPr>
          <w:rFonts w:ascii="Garamond" w:hAnsi="Garamond"/>
          <w:szCs w:val="22"/>
        </w:rPr>
        <w:lastRenderedPageBreak/>
        <w:t>по стандартной форме приложения 114.3 к Регламенту финансовых расчетов на оптовом рынке электроэнергии, являющемуся приложением № 16 к Договорам о присоединении (далее – Регламент финансовых расчетов), исполнения обязательств по оплате электрической энергии и (или) мощности в измененный срок, предусмотренный таким соглашением о реструктуризации задолженности;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5.2. просрочка более чем на 10 рабочих дней, следующих за датой платежа, хотя бы одним участником оптового рынка, заключившим соглашение о реструктуризации задолженности по стандартной форме приложения 114.3 к Регламенту финансовых расчетов, исполнения обязательств по оплате процентов за пользование денежными средствами в соответствии с таким соглашением о реструктуризации задолженности;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5.3. наличие по состоянию на 01.07.2020 статуса субъекта оптового рынка у ПАО «Дагестанская энергосбытовая компания»;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5.4. наличие по состоянию на 01.04.2020 статуса субъекта оптового рынка у АО «Севкавказэнерго»;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5.5. расторжение по соглашению Сторон настоящего Соглашения или любого иного соглашения о реструктуризации, заключенного по стандартной форме приложения 114.3 к Регламенту финансовых расчетов, участниками оптового рынка, в том числе если они не являются сторонами настоящего Соглашения;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5.6. принятие судом решения о расторжении настоящего Соглашения или любого иного соглашения о реструктуризации, заключенного по стандартной форме приложения 114.3 к Регламенту финансовых расчетов, участниками оптового рынка, в том числе если они не являются сторонами настоящего Соглашения, или признание любого из указанных соглашений недействительным, при условии вступления такого решения в законную силу;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5.7. односторонний отказ Покупателя от настоящего Соглашения или любого иного соглашения о реструктуризации, заключенного по стандартной форме приложения 114.3 к Регламенту финансовых расчетов, а также односторонний отказ любого участника оптового рынка от заключенного им по стандартной форме приложения 114.3 к Регламенту финансовых расчетов соглашения о реструктуризации задолженности, в котором он выступает покупателем;</w:t>
      </w:r>
    </w:p>
    <w:p w:rsidR="00E51850" w:rsidRPr="00831CE4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>5.8. лишение Покупателя статуса субъекта оптового рынка;</w:t>
      </w:r>
    </w:p>
    <w:p w:rsidR="00E51850" w:rsidRPr="003A7D23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831CE4">
        <w:rPr>
          <w:rFonts w:ascii="Garamond" w:hAnsi="Garamond"/>
          <w:szCs w:val="22"/>
        </w:rPr>
        <w:t xml:space="preserve">5.9. принятие арбитражным судом определения о признании требований заявителя о признании гарантирующего поставщика банкротом обоснованными и о </w:t>
      </w:r>
      <w:r w:rsidRPr="003A7D23">
        <w:rPr>
          <w:rFonts w:ascii="Garamond" w:hAnsi="Garamond"/>
          <w:szCs w:val="22"/>
        </w:rPr>
        <w:t>введении в отношении гарантирующего поставщика наблюдения в соответствии с Федеральным законом «О несостоятельности (банкротстве)»;</w:t>
      </w:r>
    </w:p>
    <w:p w:rsidR="00E51850" w:rsidRPr="003A7D23" w:rsidRDefault="00E51850" w:rsidP="00E51850">
      <w:pPr>
        <w:pStyle w:val="11"/>
        <w:tabs>
          <w:tab w:val="left" w:pos="0"/>
        </w:tabs>
        <w:spacing w:before="120" w:after="120"/>
        <w:ind w:left="993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lang w:eastAsia="en-US"/>
        </w:rPr>
        <w:t xml:space="preserve">5.10. </w:t>
      </w:r>
      <w:r w:rsidRPr="003A7D23">
        <w:rPr>
          <w:rFonts w:ascii="Garamond" w:hAnsi="Garamond"/>
        </w:rPr>
        <w:t xml:space="preserve">допущенная не ранее 28 сентября 2020 года просрочка исполнения обязательств </w:t>
      </w:r>
      <w:r w:rsidRPr="003A7D23">
        <w:rPr>
          <w:rFonts w:ascii="Garamond" w:hAnsi="Garamond"/>
          <w:lang w:eastAsia="en-US"/>
        </w:rPr>
        <w:t xml:space="preserve">ПАО «МРСК Северного Кавказа» – </w:t>
      </w:r>
      <w:r w:rsidRPr="003A7D23">
        <w:rPr>
          <w:rFonts w:ascii="Garamond" w:hAnsi="Garamond"/>
        </w:rPr>
        <w:t xml:space="preserve">территориальной сетевой организации, исполняющей функции гарантирующего поставщика (-ов) на территориях Республики Дагестан и (или) Республики Северная Осетия – Алания, либо любого участника оптового рынка – покупателя, определенного в соответствии с п. 2.5.5 настоящего Регламента, заключившего соглашение о реструктуризации задолженности по стандартной форме приложения 114.3 к Регламенту финансовых расчетов, по оплате электрической энергии и (или) мощности на оптовом рынке за расчетные периоды, начиная с июля 2020 года, более чем на 10 рабочих дней, следующих за последней датой платежа каждого </w:t>
      </w:r>
      <w:r w:rsidRPr="003A7D23">
        <w:rPr>
          <w:rFonts w:ascii="Garamond" w:hAnsi="Garamond"/>
          <w:lang w:eastAsia="en-US"/>
        </w:rPr>
        <w:t>календарного месяца</w:t>
      </w:r>
      <w:r w:rsidRPr="003A7D23">
        <w:rPr>
          <w:rFonts w:ascii="Garamond" w:hAnsi="Garamond"/>
        </w:rPr>
        <w:t>.</w:t>
      </w:r>
    </w:p>
    <w:p w:rsidR="00E51850" w:rsidRPr="003A7D23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3A7D23">
        <w:rPr>
          <w:lang w:val="ru-RU" w:eastAsia="ru-RU"/>
        </w:rPr>
        <w:t>Если АО «ЦФР» стало известно о наступлении оснований для прекращения учета настоящего Соглашения до 7-го числа месяца включительно, АО «ЦФР» прекращает учет Соглашения с 14-го числа текущего месяца.</w:t>
      </w:r>
    </w:p>
    <w:p w:rsidR="00E51850" w:rsidRPr="003A7D23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3A7D23">
        <w:rPr>
          <w:lang w:val="ru-RU" w:eastAsia="ru-RU"/>
        </w:rPr>
        <w:t>Если АО «ЦФР» стало известно о наступлении оснований для прекращения учета настоящего Соглашения после 7-го числа месяца, АО «ЦФР» прекращает учет Соглашения с 14-го числа месяца, следующего за месяцем, в котором АО «ЦФР» стало известно о наступлении оснований для прекращения учета настоящего Соглашения.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 xml:space="preserve">Настоящее Соглашение прекращается с даты прекращения АО «ЦФР» учета настоящего Соглашения, кроме случаев расторжения настоящего Соглашения по соглашению Сторон (п. 5.5 настоящего </w:t>
      </w:r>
      <w:r w:rsidRPr="003A7D23">
        <w:rPr>
          <w:rFonts w:ascii="Garamond" w:hAnsi="Garamond"/>
          <w:szCs w:val="22"/>
        </w:rPr>
        <w:lastRenderedPageBreak/>
        <w:t>Соглашения), принятия судом решения о расторжении настоящего Соглашения, признания настоящего Соглашения недействительным (п. 5.6 настоящего Соглашения).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 xml:space="preserve">В случае прекращения АО «ЦФР» учета настоящего Соглашения Покупатель обязан исполнить указанные в приложении 1 к настоящему Соглашению обязательства по оплате электрической энергии и (или) мощности, </w:t>
      </w:r>
      <w:r w:rsidRPr="003A7D23">
        <w:rPr>
          <w:rFonts w:ascii="Garamond" w:hAnsi="Garamond"/>
          <w:color w:val="000000"/>
        </w:rPr>
        <w:t>измененный срок исполнения которых не наступил на дату прекращения учета настоящего Соглашения</w:t>
      </w:r>
      <w:r w:rsidRPr="003A7D23">
        <w:rPr>
          <w:rFonts w:ascii="Garamond" w:hAnsi="Garamond"/>
          <w:szCs w:val="22"/>
        </w:rPr>
        <w:t xml:space="preserve">, в день, с которого прекращается учет настоящего Соглашения. </w:t>
      </w:r>
    </w:p>
    <w:p w:rsidR="00E51850" w:rsidRPr="003A7D23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3A7D23">
        <w:rPr>
          <w:lang w:val="ru-RU" w:eastAsia="ru-RU"/>
        </w:rPr>
        <w:t xml:space="preserve">В случае неисполнения Покупателем обязательства, указанного в настоящем пункте Соглашения, Покупатель уплачивает Продавцу неустойку в размере и порядке, установленном Регламентом финансовых расчетов, со дня, с которого прекращается учет настоящего Соглашения. </w:t>
      </w:r>
      <w:r w:rsidRPr="003A7D23">
        <w:rPr>
          <w:szCs w:val="22"/>
          <w:lang w:val="ru-RU"/>
        </w:rPr>
        <w:t>Неустойка (пени) за период действия настоящего Соглашения начислению и уплате не подлежат.</w:t>
      </w:r>
    </w:p>
    <w:p w:rsidR="00E51850" w:rsidRPr="003A7D23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3A7D23">
        <w:rPr>
          <w:lang w:val="ru-RU" w:eastAsia="ru-RU"/>
        </w:rPr>
        <w:t>При недостаточности денежных средств на торговом счете Покупателя для оплаты обязательств, указанных в настоящем пункте Соглашения, их исполнение осуществляется в порядке очередности, установленной Регламентом финансовых расчетов.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 xml:space="preserve">Покупатель уплачивает Продавцу проценты за пользование денежными средствами </w:t>
      </w:r>
      <w:r w:rsidRPr="003A7D23">
        <w:rPr>
          <w:rFonts w:ascii="Garamond" w:hAnsi="Garamond"/>
          <w:bCs/>
          <w:szCs w:val="22"/>
        </w:rPr>
        <w:t>в соответствии со статьей 317.1 Гражданского кодекса Российской Федерации</w:t>
      </w:r>
      <w:r w:rsidRPr="003A7D23">
        <w:rPr>
          <w:rFonts w:ascii="Garamond" w:hAnsi="Garamond"/>
          <w:bCs/>
        </w:rPr>
        <w:t xml:space="preserve">, размер которых определяется действовавшей в соответствующие периоды ключевой ставкой Банка России, за период пользования денежными средствами </w:t>
      </w:r>
      <w:r w:rsidRPr="003A7D23">
        <w:rPr>
          <w:rFonts w:ascii="Garamond" w:hAnsi="Garamond"/>
          <w:szCs w:val="22"/>
        </w:rPr>
        <w:t>с 1 апреля 2020 года до дня фактического исполнения обязательств, указанных в приложении 1 к настоящему Соглашению.</w:t>
      </w:r>
    </w:p>
    <w:p w:rsidR="00E51850" w:rsidRPr="003A7D23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3A7D23">
        <w:rPr>
          <w:lang w:val="ru-RU" w:eastAsia="ru-RU"/>
        </w:rPr>
        <w:t>Покупатель уплачивает Продавцу проценты за пользование денежными средствами ежемесячно в порядке и сроки, установленные Договорами о присоединении, начиная с 28 сентября 2020 года.</w:t>
      </w:r>
    </w:p>
    <w:p w:rsidR="00E51850" w:rsidRPr="003A7D23" w:rsidRDefault="00E51850" w:rsidP="00E51850">
      <w:pPr>
        <w:widowControl w:val="0"/>
        <w:spacing w:before="120" w:after="120"/>
        <w:jc w:val="both"/>
        <w:rPr>
          <w:lang w:val="ru-RU" w:eastAsia="ru-RU"/>
        </w:rPr>
      </w:pPr>
      <w:r w:rsidRPr="003A7D23">
        <w:rPr>
          <w:lang w:val="ru-RU" w:eastAsia="ru-RU"/>
        </w:rPr>
        <w:t>Оплата процентов за пользование денежными средствами осуществляется в порядке, предусмотренном Договорами о присоединении.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>В случае прекращения АО «ЦФР» учета настоящего Соглашения Покупатель уплачивает Продавцу проценты за пользование денежными средствами, рассчитанные до дня, с которого прекращен учет АО «ЦФР» настоящего Соглашения. В этом случае проценты за пользование денежными средствами уплачиваются в порядке и сроки, установленные Договорами о присоединении.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 xml:space="preserve">Стороны договорились урегулировать вопросы, связанные с погашением задолженности за электрическую энергию и мощность, приобретенные на оптовом рынке за период до 1 января 2020 года, находящейся в процессе взыскания в судебном порядке или на стадии исполнительного производства, путем заключения мировых соглашений, в том числе с условием отсрочки исполнения судебных актов до 01.09.2020. 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>Условия о размере процентов за пользование денежными средствами, право на односторонний отказ Покупателя от настоящего Соглашения, основания прекращения АО «ЦФР» учета настоящего Соглашения, пункт 12, а также график исполнения обязательств по оплате электрической энергии и (или) мощности, являющийся приложением 1 к настоящему Соглашению, не могут быть изменены путем внесения изменений в Договоры о присоединении. Изменения, внесенные в Договоры о присоединении после даты подписания настоящего Соглашения, не могут изменять права и обязанности Сторон по указанным условиям.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szCs w:val="22"/>
        </w:rPr>
      </w:pPr>
      <w:r w:rsidRPr="003A7D23">
        <w:rPr>
          <w:rFonts w:ascii="Garamond" w:hAnsi="Garamond"/>
          <w:szCs w:val="22"/>
        </w:rPr>
        <w:t>Исполнение обязательств Покупателя по настоящему Соглашению может быть произведено третьим лицом в порядке, предусмотренном Договорами о присоединении.</w:t>
      </w:r>
    </w:p>
    <w:p w:rsidR="00E51850" w:rsidRPr="003A7D23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3A7D23">
        <w:rPr>
          <w:rFonts w:ascii="Garamond" w:hAnsi="Garamond"/>
          <w:bCs/>
          <w:szCs w:val="22"/>
        </w:rPr>
        <w:t>Во всем ином, что не предусмотрено настоящим Соглашением, Стороны руководствуются договорами, указанными в приложении 1 к настоящему Соглашению, Договорами о присоединении и законодательством Российской Федерации.</w:t>
      </w:r>
    </w:p>
    <w:p w:rsidR="00E51850" w:rsidRPr="00831CE4" w:rsidRDefault="00E51850" w:rsidP="00E51850">
      <w:pPr>
        <w:pStyle w:val="11"/>
        <w:numPr>
          <w:ilvl w:val="0"/>
          <w:numId w:val="2"/>
        </w:numPr>
        <w:tabs>
          <w:tab w:val="left" w:pos="0"/>
        </w:tabs>
        <w:spacing w:before="120" w:after="120"/>
        <w:ind w:left="0" w:hanging="426"/>
        <w:rPr>
          <w:rFonts w:ascii="Garamond" w:hAnsi="Garamond"/>
          <w:bCs/>
          <w:szCs w:val="22"/>
        </w:rPr>
      </w:pPr>
      <w:r w:rsidRPr="003A7D23">
        <w:rPr>
          <w:rFonts w:ascii="Garamond" w:hAnsi="Garamond"/>
          <w:bCs/>
          <w:szCs w:val="22"/>
        </w:rPr>
        <w:t>Настоящее Соглашение</w:t>
      </w:r>
      <w:r w:rsidRPr="00831CE4">
        <w:rPr>
          <w:rFonts w:ascii="Garamond" w:hAnsi="Garamond"/>
          <w:bCs/>
          <w:szCs w:val="22"/>
        </w:rPr>
        <w:t xml:space="preserve"> подписано в трех экземплярах, имеющих равную юридическую силу, по одному для каждой из Сторон и АО «ЦФР».</w:t>
      </w:r>
    </w:p>
    <w:p w:rsidR="00E51850" w:rsidRPr="00831CE4" w:rsidRDefault="00E51850" w:rsidP="00E51850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>
        <w:rPr>
          <w:rFonts w:ascii="Garamond" w:hAnsi="Garamond"/>
          <w:bCs/>
          <w:szCs w:val="22"/>
          <w:lang w:val="ru-RU" w:eastAsia="x-none"/>
        </w:rPr>
        <w:t>П</w:t>
      </w:r>
      <w:r w:rsidRPr="00831CE4">
        <w:rPr>
          <w:rFonts w:ascii="Garamond" w:hAnsi="Garamond"/>
          <w:bCs/>
          <w:szCs w:val="22"/>
          <w:lang w:val="ru-RU" w:eastAsia="x-none"/>
        </w:rPr>
        <w:t xml:space="preserve">одписи </w:t>
      </w:r>
      <w:r>
        <w:rPr>
          <w:rFonts w:ascii="Garamond" w:hAnsi="Garamond"/>
          <w:bCs/>
          <w:szCs w:val="22"/>
          <w:lang w:val="ru-RU" w:eastAsia="x-none"/>
        </w:rPr>
        <w:t>С</w:t>
      </w:r>
      <w:r w:rsidRPr="00831CE4">
        <w:rPr>
          <w:rFonts w:ascii="Garamond" w:hAnsi="Garamond"/>
          <w:bCs/>
          <w:szCs w:val="22"/>
          <w:lang w:val="ru-RU" w:eastAsia="x-none"/>
        </w:rPr>
        <w:t>торон</w:t>
      </w: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  <w:jc w:val="right"/>
        <w:rPr>
          <w:bCs/>
        </w:rPr>
      </w:pPr>
      <w:r w:rsidRPr="00831CE4">
        <w:t>Приложение 1 к Соглашению</w:t>
      </w:r>
      <w:r w:rsidRPr="00831CE4">
        <w:rPr>
          <w:bCs/>
        </w:rPr>
        <w:t xml:space="preserve"> </w:t>
      </w: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  <w:jc w:val="right"/>
      </w:pPr>
      <w:r w:rsidRPr="00831CE4">
        <w:t>№ _______ от ___________</w:t>
      </w: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</w:pPr>
    </w:p>
    <w:p w:rsidR="00E51850" w:rsidRPr="00831CE4" w:rsidRDefault="00E51850" w:rsidP="00E51850">
      <w:pPr>
        <w:pStyle w:val="3"/>
        <w:numPr>
          <w:ilvl w:val="0"/>
          <w:numId w:val="0"/>
        </w:numPr>
      </w:pPr>
      <w:r w:rsidRPr="00831CE4">
        <w:t>График исполнения обязательств по оплате электрической энергии и (или) мощности</w:t>
      </w: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</w:pPr>
    </w:p>
    <w:tbl>
      <w:tblPr>
        <w:tblW w:w="949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851"/>
        <w:gridCol w:w="1559"/>
        <w:gridCol w:w="992"/>
        <w:gridCol w:w="1418"/>
        <w:gridCol w:w="1701"/>
        <w:gridCol w:w="1417"/>
        <w:gridCol w:w="1560"/>
      </w:tblGrid>
      <w:tr w:rsidR="00E51850" w:rsidRPr="00CB7D6A" w:rsidTr="00266AB7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Номер п/п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 xml:space="preserve">Наименование товара (электроэнергия/мощность)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Договор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Период, за который подлежит исполнению обязательство по оплате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Первоначальный срок исполнения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Измененный срок исполнения обязательства в соответствии с настоящим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val="ru-RU" w:eastAsia="ru-RU"/>
              </w:rPr>
            </w:pPr>
            <w:r w:rsidRPr="00CB7D6A">
              <w:rPr>
                <w:color w:val="000000"/>
                <w:szCs w:val="22"/>
                <w:lang w:val="ru-RU" w:eastAsia="ru-RU"/>
              </w:rPr>
              <w:t>Размер задолженности, руб. с НДС</w:t>
            </w:r>
          </w:p>
        </w:tc>
      </w:tr>
      <w:tr w:rsidR="00E51850" w:rsidRPr="00CB7D6A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  <w:tr w:rsidR="00E51850" w:rsidRPr="00CB7D6A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  <w:tr w:rsidR="00E51850" w:rsidRPr="00CB7D6A" w:rsidTr="00266AB7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850" w:rsidRPr="00CB7D6A" w:rsidRDefault="00E51850" w:rsidP="00266AB7">
            <w:pPr>
              <w:spacing w:before="120" w:after="120"/>
              <w:jc w:val="center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  <w:tr w:rsidR="00E51850" w:rsidRPr="00CB7D6A" w:rsidTr="00266AB7">
        <w:trPr>
          <w:trHeight w:val="288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1850" w:rsidRPr="00CB7D6A" w:rsidRDefault="00E51850" w:rsidP="00266AB7">
            <w:pPr>
              <w:spacing w:before="120" w:after="120"/>
              <w:jc w:val="right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850" w:rsidRPr="00CB7D6A" w:rsidRDefault="00E51850" w:rsidP="00266AB7">
            <w:pPr>
              <w:spacing w:before="120" w:after="120"/>
              <w:rPr>
                <w:color w:val="000000"/>
                <w:szCs w:val="22"/>
                <w:lang w:eastAsia="ru-RU"/>
              </w:rPr>
            </w:pPr>
            <w:r w:rsidRPr="00CB7D6A">
              <w:rPr>
                <w:color w:val="000000"/>
                <w:szCs w:val="22"/>
                <w:lang w:eastAsia="ru-RU"/>
              </w:rPr>
              <w:t> </w:t>
            </w:r>
          </w:p>
        </w:tc>
      </w:tr>
    </w:tbl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/>
          <w:lang w:val="ru-RU" w:eastAsia="x-none"/>
        </w:rPr>
      </w:pPr>
    </w:p>
    <w:p w:rsidR="00E51850" w:rsidRPr="00831CE4" w:rsidRDefault="00E51850" w:rsidP="00E51850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Подписи </w:t>
      </w:r>
      <w:r>
        <w:rPr>
          <w:rFonts w:ascii="Garamond" w:hAnsi="Garamond"/>
          <w:bCs/>
          <w:szCs w:val="22"/>
          <w:lang w:val="ru-RU" w:eastAsia="x-none"/>
        </w:rPr>
        <w:t>С</w:t>
      </w:r>
      <w:r w:rsidRPr="00831CE4">
        <w:rPr>
          <w:rFonts w:ascii="Garamond" w:hAnsi="Garamond"/>
          <w:bCs/>
          <w:szCs w:val="22"/>
          <w:lang w:val="ru-RU" w:eastAsia="x-none"/>
        </w:rPr>
        <w:t>торон</w:t>
      </w: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>от Продавца</w:t>
      </w: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от Покупателя </w:t>
      </w:r>
    </w:p>
    <w:p w:rsidR="00E51850" w:rsidRPr="00831CE4" w:rsidRDefault="00E51850" w:rsidP="00E51850">
      <w:pPr>
        <w:spacing w:before="120" w:after="120"/>
        <w:jc w:val="both"/>
        <w:rPr>
          <w:b/>
        </w:rPr>
      </w:pP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</w:pP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  <w:jc w:val="right"/>
        <w:rPr>
          <w:bCs/>
        </w:rPr>
      </w:pPr>
      <w:r w:rsidRPr="00831CE4">
        <w:t>Приложение 2 к Соглашению</w:t>
      </w:r>
      <w:r w:rsidRPr="00831CE4">
        <w:rPr>
          <w:bCs/>
        </w:rPr>
        <w:t xml:space="preserve"> </w:t>
      </w:r>
    </w:p>
    <w:p w:rsidR="00E51850" w:rsidRPr="00831CE4" w:rsidRDefault="00E51850" w:rsidP="00E51850">
      <w:pPr>
        <w:pStyle w:val="3"/>
        <w:numPr>
          <w:ilvl w:val="0"/>
          <w:numId w:val="0"/>
        </w:numPr>
        <w:ind w:left="1702"/>
        <w:jc w:val="right"/>
      </w:pPr>
      <w:r w:rsidRPr="00831CE4">
        <w:t>№ _______ от ___________</w:t>
      </w:r>
    </w:p>
    <w:p w:rsidR="00E51850" w:rsidRPr="00831CE4" w:rsidRDefault="00E51850" w:rsidP="00E51850">
      <w:pPr>
        <w:pStyle w:val="a3"/>
        <w:ind w:right="-717"/>
        <w:rPr>
          <w:rFonts w:ascii="Garamond" w:hAnsi="Garamond"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a3"/>
        <w:jc w:val="center"/>
        <w:rPr>
          <w:rFonts w:ascii="Garamond" w:hAnsi="Garamond"/>
          <w:b/>
          <w:bCs/>
          <w:szCs w:val="22"/>
          <w:lang w:val="ru-RU" w:eastAsia="x-none"/>
        </w:rPr>
      </w:pPr>
      <w:r w:rsidRPr="00831CE4">
        <w:rPr>
          <w:rFonts w:ascii="Garamond" w:hAnsi="Garamond"/>
          <w:b/>
          <w:bCs/>
          <w:szCs w:val="22"/>
          <w:lang w:val="ru-RU" w:eastAsia="x-none"/>
        </w:rPr>
        <w:t>Уведомление об одностороннем отказе от Соглашения о реструктуризации задолженности</w:t>
      </w:r>
    </w:p>
    <w:p w:rsidR="00E51850" w:rsidRPr="00831CE4" w:rsidRDefault="00E51850" w:rsidP="00E51850">
      <w:pPr>
        <w:pStyle w:val="a3"/>
        <w:ind w:right="-717"/>
        <w:jc w:val="center"/>
        <w:rPr>
          <w:rFonts w:ascii="Garamond" w:hAnsi="Garamond"/>
          <w:b/>
          <w:bCs/>
          <w:szCs w:val="22"/>
          <w:lang w:val="ru-RU" w:eastAsia="x-none"/>
        </w:rPr>
      </w:pPr>
    </w:p>
    <w:p w:rsidR="00E51850" w:rsidRPr="00831CE4" w:rsidRDefault="00E51850" w:rsidP="00E51850">
      <w:pPr>
        <w:pStyle w:val="a3"/>
        <w:ind w:right="-717"/>
        <w:jc w:val="left"/>
        <w:rPr>
          <w:rFonts w:ascii="Garamond" w:hAnsi="Garamond"/>
          <w:bCs/>
          <w:szCs w:val="22"/>
          <w:lang w:val="ru-RU" w:eastAsia="x-none"/>
        </w:rPr>
      </w:pPr>
      <w:r w:rsidRPr="00831CE4">
        <w:rPr>
          <w:rFonts w:ascii="Garamond" w:hAnsi="Garamond"/>
          <w:bCs/>
          <w:szCs w:val="22"/>
          <w:lang w:val="ru-RU" w:eastAsia="x-none"/>
        </w:rPr>
        <w:t xml:space="preserve"> </w:t>
      </w:r>
    </w:p>
    <w:p w:rsidR="00E51850" w:rsidRDefault="00E51850" w:rsidP="00E51850">
      <w:pPr>
        <w:spacing w:before="120" w:after="120"/>
        <w:ind w:firstLine="600"/>
        <w:jc w:val="both"/>
        <w:rPr>
          <w:lang w:val="ru-RU"/>
        </w:rPr>
      </w:pPr>
      <w:r w:rsidRPr="00F675D1">
        <w:rPr>
          <w:lang w:val="ru-RU"/>
        </w:rPr>
        <w:t>Настоящим ______________________________________________ уведомляет об одностороннем отказе от Соглашения о реструктуризации задолженности № ___ от _______ в соответствии с п. 4 указанного соглашения с даты прекращения АО «ЦФР» учета Соглашения о реструктуризации задолженности.</w:t>
      </w:r>
    </w:p>
    <w:p w:rsidR="00D52D14" w:rsidRPr="00E51850" w:rsidRDefault="00D52D14">
      <w:pPr>
        <w:rPr>
          <w:lang w:val="ru-RU"/>
        </w:rPr>
      </w:pPr>
      <w:bookmarkStart w:id="0" w:name="_GoBack"/>
      <w:bookmarkEnd w:id="0"/>
    </w:p>
    <w:sectPr w:rsidR="00D52D14" w:rsidRPr="00E5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B7926"/>
    <w:multiLevelType w:val="multilevel"/>
    <w:tmpl w:val="2A22AC6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F0"/>
    <w:rsid w:val="002F6BF0"/>
    <w:rsid w:val="00D52D14"/>
    <w:rsid w:val="00E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1972-0DFB-4C1A-8A91-ACD1ABA4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50"/>
    <w:pPr>
      <w:spacing w:before="180" w:after="60" w:line="240" w:lineRule="auto"/>
    </w:pPr>
    <w:rPr>
      <w:rFonts w:ascii="Garamond" w:eastAsia="Times New Roman" w:hAnsi="Garamond" w:cs="Times New Roman"/>
      <w:szCs w:val="20"/>
      <w:lang w:val="en-GB"/>
    </w:rPr>
  </w:style>
  <w:style w:type="paragraph" w:styleId="1">
    <w:name w:val="heading 1"/>
    <w:aliases w:val="Заголовок параграфа (1.),Section,level2 hdg,111,Заголовок параграфа (1.) Знак Знак"/>
    <w:basedOn w:val="a"/>
    <w:link w:val="10"/>
    <w:autoRedefine/>
    <w:qFormat/>
    <w:rsid w:val="00E51850"/>
    <w:pPr>
      <w:keepNext/>
      <w:numPr>
        <w:numId w:val="1"/>
      </w:numPr>
      <w:spacing w:before="120" w:after="120"/>
      <w:jc w:val="center"/>
      <w:outlineLvl w:val="0"/>
    </w:pPr>
    <w:rPr>
      <w:rFonts w:cs="Garamond"/>
      <w:b/>
      <w:caps/>
      <w:color w:val="000000"/>
      <w:kern w:val="28"/>
      <w:szCs w:val="22"/>
      <w:lang w:val="ru-RU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E51850"/>
    <w:pPr>
      <w:widowControl w:val="0"/>
      <w:numPr>
        <w:ilvl w:val="1"/>
        <w:numId w:val="1"/>
      </w:numPr>
      <w:spacing w:before="120" w:after="120"/>
      <w:outlineLvl w:val="2"/>
    </w:pPr>
    <w:rPr>
      <w:b/>
      <w:color w:val="00000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50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basedOn w:val="a0"/>
    <w:uiPriority w:val="9"/>
    <w:semiHidden/>
    <w:rsid w:val="00E518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a3">
    <w:name w:val="Body Text"/>
    <w:aliases w:val="body text"/>
    <w:basedOn w:val="a"/>
    <w:link w:val="4"/>
    <w:rsid w:val="00E51850"/>
    <w:pPr>
      <w:spacing w:before="120" w:after="120"/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uiPriority w:val="99"/>
    <w:semiHidden/>
    <w:rsid w:val="00E51850"/>
    <w:rPr>
      <w:rFonts w:ascii="Garamond" w:eastAsia="Times New Roman" w:hAnsi="Garamond" w:cs="Times New Roman"/>
      <w:szCs w:val="20"/>
      <w:lang w:val="en-GB"/>
    </w:rPr>
  </w:style>
  <w:style w:type="character" w:customStyle="1" w:styleId="4">
    <w:name w:val="Основной текст Знак4"/>
    <w:aliases w:val="body text Знак3"/>
    <w:link w:val="a3"/>
    <w:rsid w:val="00E51850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rsid w:val="00E51850"/>
    <w:pPr>
      <w:tabs>
        <w:tab w:val="num" w:pos="1680"/>
      </w:tabs>
      <w:spacing w:before="0" w:after="0"/>
      <w:ind w:left="1680" w:hanging="1140"/>
      <w:jc w:val="both"/>
    </w:pPr>
    <w:rPr>
      <w:rFonts w:ascii="Times New Roman" w:hAnsi="Times New Roman"/>
      <w:szCs w:val="24"/>
      <w:lang w:val="ru-RU" w:eastAsia="ru-RU"/>
    </w:rPr>
  </w:style>
  <w:style w:type="character" w:customStyle="1" w:styleId="31">
    <w:name w:val="Заголовок 3 Знак1"/>
    <w:aliases w:val="H3 Знак1,Заголовок подпукта (1.1.1) Знак1,Level 1 - 1 Знак1,o Знак1"/>
    <w:link w:val="3"/>
    <w:locked/>
    <w:rsid w:val="00E51850"/>
    <w:rPr>
      <w:rFonts w:ascii="Garamond" w:eastAsia="Times New Roman" w:hAnsi="Garamond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1732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 Кирилл Владимирович</dc:creator>
  <cp:keywords/>
  <dc:description/>
  <cp:lastModifiedBy>Голубцов Кирилл Владимирович</cp:lastModifiedBy>
  <cp:revision>2</cp:revision>
  <dcterms:created xsi:type="dcterms:W3CDTF">2021-03-23T13:54:00Z</dcterms:created>
  <dcterms:modified xsi:type="dcterms:W3CDTF">2021-03-23T13:54:00Z</dcterms:modified>
</cp:coreProperties>
</file>